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6F8" w:rsidRPr="00B51EF7" w:rsidRDefault="00174869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0080"/>
          <w:spacing w:val="5"/>
          <w:sz w:val="72"/>
          <w:szCs w:val="52"/>
        </w:rPr>
      </w:pPr>
      <w:r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</w:rPr>
        <w:t>Tuolumne County Health Care &amp; Safety Coalition Information Sharing Exercise</w:t>
      </w:r>
      <w:bookmarkStart w:id="0" w:name="_GoBack"/>
      <w:bookmarkEnd w:id="0"/>
    </w:p>
    <w:p w:rsidR="006746F8" w:rsidRPr="00B51EF7" w:rsidRDefault="00F466AA" w:rsidP="006746F8">
      <w:pPr>
        <w:pStyle w:val="Subtitle"/>
      </w:pPr>
      <w:r w:rsidRPr="00B51EF7">
        <w:t>After-Action Report/Improvement Plan</w:t>
      </w:r>
    </w:p>
    <w:p w:rsidR="006746F8" w:rsidRDefault="001F10B6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>
        <w:rPr>
          <w:rFonts w:ascii="Arial" w:hAnsi="Arial" w:cs="Arial"/>
          <w:color w:val="404040" w:themeColor="text1" w:themeTint="BF"/>
          <w:sz w:val="32"/>
          <w:szCs w:val="32"/>
        </w:rPr>
        <w:t>Exercise Date</w:t>
      </w:r>
      <w:r w:rsidR="00286CE7">
        <w:rPr>
          <w:rFonts w:ascii="Arial" w:hAnsi="Arial" w:cs="Arial"/>
          <w:color w:val="404040" w:themeColor="text1" w:themeTint="BF"/>
          <w:sz w:val="32"/>
          <w:szCs w:val="32"/>
        </w:rPr>
        <w:t>: December 17, 2019</w:t>
      </w:r>
    </w:p>
    <w:p w:rsidR="001F10B6" w:rsidRPr="00B51EF7" w:rsidRDefault="001F10B6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>
        <w:rPr>
          <w:rFonts w:ascii="Arial" w:hAnsi="Arial" w:cs="Arial"/>
          <w:color w:val="404040" w:themeColor="text1" w:themeTint="BF"/>
          <w:sz w:val="32"/>
          <w:szCs w:val="32"/>
        </w:rPr>
        <w:t>AAR/IP Date</w:t>
      </w:r>
      <w:r w:rsidR="00286CE7">
        <w:rPr>
          <w:rFonts w:ascii="Arial" w:hAnsi="Arial" w:cs="Arial"/>
          <w:color w:val="404040" w:themeColor="text1" w:themeTint="BF"/>
          <w:sz w:val="32"/>
          <w:szCs w:val="32"/>
        </w:rPr>
        <w:t>: December 27, 2019</w:t>
      </w:r>
    </w:p>
    <w:p w:rsidR="006746F8" w:rsidRPr="00B51EF7" w:rsidRDefault="006746F8" w:rsidP="006746F8">
      <w:pPr>
        <w:pStyle w:val="CoverPageSummary"/>
        <w:sectPr w:rsidR="006746F8" w:rsidRPr="00B51EF7" w:rsidSect="00A40CC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</w:p>
    <w:p w:rsidR="006746F8" w:rsidRPr="00B51EF7" w:rsidRDefault="006746F8" w:rsidP="006746F8">
      <w:pPr>
        <w:pStyle w:val="Heading1"/>
        <w:rPr>
          <w:rFonts w:ascii="Arial" w:hAnsi="Arial"/>
        </w:rPr>
      </w:pPr>
      <w:r w:rsidRPr="00B51EF7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891"/>
        <w:gridCol w:w="7379"/>
      </w:tblGrid>
      <w:tr w:rsidR="00D27750" w:rsidRPr="001D6096" w:rsidTr="00781D7E">
        <w:trPr>
          <w:trHeight w:val="437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668" w:type="dxa"/>
            <w:vAlign w:val="center"/>
          </w:tcPr>
          <w:p w:rsidR="00D27750" w:rsidRPr="00A07A32" w:rsidRDefault="0030153D" w:rsidP="00781D7E">
            <w:pPr>
              <w:spacing w:before="120" w:after="120"/>
              <w:rPr>
                <w:b/>
                <w:szCs w:val="20"/>
              </w:rPr>
            </w:pPr>
            <w:r w:rsidRPr="00793CF5">
              <w:rPr>
                <w:szCs w:val="20"/>
              </w:rPr>
              <w:t>Tuolumne County Health Care &amp; Safety Coalition Information Sharing Exercise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668" w:type="dxa"/>
            <w:vAlign w:val="center"/>
          </w:tcPr>
          <w:p w:rsidR="00D27750" w:rsidRPr="00A07A32" w:rsidRDefault="0030153D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793CF5">
              <w:rPr>
                <w:szCs w:val="20"/>
              </w:rPr>
              <w:t>December 17, 2019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668" w:type="dxa"/>
            <w:vAlign w:val="center"/>
          </w:tcPr>
          <w:p w:rsidR="00D27750" w:rsidRPr="00A07A32" w:rsidRDefault="0030153D" w:rsidP="00781D7E">
            <w:pPr>
              <w:pStyle w:val="BodyText"/>
              <w:rPr>
                <w:highlight w:val="lightGray"/>
              </w:rPr>
            </w:pPr>
            <w:r w:rsidRPr="00C436F9">
              <w:t>This</w:t>
            </w:r>
            <w:r>
              <w:t xml:space="preserve"> wa</w:t>
            </w:r>
            <w:r w:rsidRPr="00C436F9">
              <w:t xml:space="preserve">s a functional exercise </w:t>
            </w:r>
            <w:r>
              <w:t>which occurred</w:t>
            </w:r>
            <w:r w:rsidRPr="00C436F9">
              <w:t xml:space="preserve"> at individual participant locations.  Exercise play </w:t>
            </w:r>
            <w:r>
              <w:t>wa</w:t>
            </w:r>
            <w:r w:rsidRPr="00C436F9">
              <w:t>s limited to the objectives listed in th</w:t>
            </w:r>
            <w:r>
              <w:t>e</w:t>
            </w:r>
            <w:r w:rsidRPr="00C436F9">
              <w:t xml:space="preserve"> Exercise Plan.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Mission Area</w:t>
            </w:r>
            <w:r>
              <w:rPr>
                <w:b/>
                <w:color w:val="FFFFFF" w:themeColor="background1"/>
                <w:szCs w:val="20"/>
              </w:rPr>
              <w:t>(s)</w:t>
            </w:r>
          </w:p>
        </w:tc>
        <w:tc>
          <w:tcPr>
            <w:tcW w:w="7668" w:type="dxa"/>
            <w:vAlign w:val="center"/>
          </w:tcPr>
          <w:p w:rsidR="00D27750" w:rsidRPr="00A07A32" w:rsidRDefault="0030153D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793CF5">
              <w:rPr>
                <w:szCs w:val="20"/>
              </w:rPr>
              <w:t>Response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Core Capabilities</w:t>
            </w:r>
          </w:p>
        </w:tc>
        <w:tc>
          <w:tcPr>
            <w:tcW w:w="7668" w:type="dxa"/>
            <w:vAlign w:val="center"/>
          </w:tcPr>
          <w:p w:rsidR="00D27750" w:rsidRPr="00A07A32" w:rsidRDefault="0030153D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793CF5">
              <w:rPr>
                <w:szCs w:val="20"/>
              </w:rPr>
              <w:t>Information Sharing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668" w:type="dxa"/>
            <w:vAlign w:val="center"/>
          </w:tcPr>
          <w:p w:rsidR="0030153D" w:rsidRPr="00A22A3F" w:rsidRDefault="0030153D" w:rsidP="0030153D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szCs w:val="20"/>
              </w:rPr>
            </w:pPr>
            <w:r w:rsidRPr="00A22A3F">
              <w:rPr>
                <w:szCs w:val="20"/>
              </w:rPr>
              <w:t>Public Health will utilize the California Health Alert Network (CAHAN) system to alert HCSC partners of a potential Public Safety Power Shutoff (PSPS) and to remind them to charge their radios and begin outreach to clients with Access and Functional Needs (AFN).</w:t>
            </w:r>
          </w:p>
          <w:p w:rsidR="0030153D" w:rsidRPr="00A22A3F" w:rsidRDefault="0030153D" w:rsidP="0030153D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szCs w:val="20"/>
              </w:rPr>
            </w:pPr>
            <w:r w:rsidRPr="00A22A3F">
              <w:rPr>
                <w:szCs w:val="20"/>
              </w:rPr>
              <w:t xml:space="preserve">Coalition partners will successfully communicate with Tuolumne County Public Health and the Medical Health Operational Area Coordinator (MHOAC) via </w:t>
            </w:r>
            <w:proofErr w:type="spellStart"/>
            <w:r w:rsidRPr="00A22A3F">
              <w:rPr>
                <w:szCs w:val="20"/>
              </w:rPr>
              <w:t>EMResource</w:t>
            </w:r>
            <w:proofErr w:type="spellEnd"/>
            <w:r w:rsidRPr="00A22A3F">
              <w:rPr>
                <w:szCs w:val="20"/>
              </w:rPr>
              <w:t xml:space="preserve">, fax, phone, and radio. </w:t>
            </w:r>
          </w:p>
          <w:p w:rsidR="0030153D" w:rsidRDefault="0030153D" w:rsidP="0030153D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szCs w:val="20"/>
              </w:rPr>
            </w:pPr>
            <w:r w:rsidRPr="00A22A3F">
              <w:rPr>
                <w:szCs w:val="20"/>
              </w:rPr>
              <w:t>The MHOAC will submit an update regarding the status of the local healthcare system to Tuolumne County O</w:t>
            </w:r>
            <w:r>
              <w:rPr>
                <w:szCs w:val="20"/>
              </w:rPr>
              <w:t>ffice of Emergency Services (OES)</w:t>
            </w:r>
            <w:r w:rsidRPr="00A22A3F">
              <w:rPr>
                <w:szCs w:val="20"/>
              </w:rPr>
              <w:t xml:space="preserve">. </w:t>
            </w:r>
          </w:p>
          <w:p w:rsidR="00D27750" w:rsidRPr="0030153D" w:rsidRDefault="0030153D" w:rsidP="0030153D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szCs w:val="20"/>
              </w:rPr>
            </w:pPr>
            <w:r w:rsidRPr="0030153D">
              <w:rPr>
                <w:szCs w:val="20"/>
              </w:rPr>
              <w:t>The MHOAC will submit a Situation Report to the Regional Disaster Medical Health Specialist.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668" w:type="dxa"/>
            <w:vAlign w:val="center"/>
          </w:tcPr>
          <w:p w:rsidR="00D27750" w:rsidRPr="00A07A32" w:rsidRDefault="0030153D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793CF5">
              <w:rPr>
                <w:szCs w:val="20"/>
              </w:rPr>
              <w:t>Public Safety Power Shutoff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7668" w:type="dxa"/>
            <w:vAlign w:val="center"/>
          </w:tcPr>
          <w:p w:rsidR="00D27750" w:rsidRPr="00A07A32" w:rsidRDefault="0030153D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1E3C79">
              <w:rPr>
                <w:szCs w:val="20"/>
              </w:rPr>
              <w:t>On December 16, 2019, PG&amp;E inform</w:t>
            </w:r>
            <w:r>
              <w:rPr>
                <w:szCs w:val="20"/>
              </w:rPr>
              <w:t>ed</w:t>
            </w:r>
            <w:r w:rsidRPr="001E3C79">
              <w:rPr>
                <w:szCs w:val="20"/>
              </w:rPr>
              <w:t xml:space="preserve"> Tuolumne County OES of a potential PSPS beginning December 17, 2019 in the afternoon or evening. Tuolumne County Public Health issue</w:t>
            </w:r>
            <w:r>
              <w:rPr>
                <w:szCs w:val="20"/>
              </w:rPr>
              <w:t>d</w:t>
            </w:r>
            <w:r w:rsidRPr="001E3C79">
              <w:rPr>
                <w:szCs w:val="20"/>
              </w:rPr>
              <w:t xml:space="preserve"> a CAHAN alert notifying HCSC partners of the potential PSPS and reminding them to charge their radios and begin outreach to clients with AFN. On December 17</w:t>
            </w:r>
            <w:r w:rsidRPr="001E3C79">
              <w:rPr>
                <w:szCs w:val="20"/>
                <w:vertAlign w:val="superscript"/>
              </w:rPr>
              <w:t>th</w:t>
            </w:r>
            <w:r w:rsidRPr="001E3C79">
              <w:rPr>
                <w:szCs w:val="20"/>
              </w:rPr>
              <w:t xml:space="preserve">, the Tuolumne County MHOAC Program asks all partner agencies to submit a Situation Report with updates regarding their preparedness efforts and current </w:t>
            </w:r>
            <w:r>
              <w:rPr>
                <w:szCs w:val="20"/>
              </w:rPr>
              <w:t>operating status.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668" w:type="dxa"/>
            <w:vAlign w:val="center"/>
          </w:tcPr>
          <w:p w:rsidR="00D27750" w:rsidRPr="00A07A32" w:rsidRDefault="0030153D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793CF5">
              <w:rPr>
                <w:szCs w:val="20"/>
              </w:rPr>
              <w:t>Tuolumne County Public Health Department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lastRenderedPageBreak/>
              <w:t>Participating Organizations</w:t>
            </w:r>
          </w:p>
        </w:tc>
        <w:tc>
          <w:tcPr>
            <w:tcW w:w="7668" w:type="dxa"/>
            <w:vAlign w:val="center"/>
          </w:tcPr>
          <w:p w:rsidR="00D27750" w:rsidRPr="00A07A32" w:rsidRDefault="0030153D" w:rsidP="00781D7E">
            <w:pPr>
              <w:spacing w:before="120" w:after="120"/>
              <w:rPr>
                <w:szCs w:val="20"/>
                <w:highlight w:val="lightGray"/>
              </w:rPr>
            </w:pPr>
            <w:r>
              <w:t>All m</w:t>
            </w:r>
            <w:r w:rsidRPr="00D35F29">
              <w:t xml:space="preserve">embers of the </w:t>
            </w:r>
            <w:r>
              <w:t xml:space="preserve">Tuolumne County </w:t>
            </w:r>
            <w:r w:rsidRPr="00D35F29">
              <w:t>Health Care &amp; Safety Coalition</w:t>
            </w:r>
            <w:r>
              <w:t xml:space="preserve"> are invited to participate.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668" w:type="dxa"/>
            <w:vAlign w:val="center"/>
          </w:tcPr>
          <w:p w:rsidR="00D27750" w:rsidRPr="00A07A32" w:rsidRDefault="0030153D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53319C">
              <w:rPr>
                <w:szCs w:val="20"/>
              </w:rPr>
              <w:t>Rebecca Morgenstern, HPP Coordinator, Tuolumne</w:t>
            </w:r>
            <w:r>
              <w:rPr>
                <w:szCs w:val="20"/>
              </w:rPr>
              <w:t xml:space="preserve"> County Public </w:t>
            </w:r>
            <w:proofErr w:type="gramStart"/>
            <w:r>
              <w:rPr>
                <w:szCs w:val="20"/>
              </w:rPr>
              <w:t xml:space="preserve">Health </w:t>
            </w:r>
            <w:r w:rsidRPr="0053319C">
              <w:rPr>
                <w:szCs w:val="20"/>
              </w:rPr>
              <w:t xml:space="preserve"> </w:t>
            </w:r>
            <w:r w:rsidRPr="009D3D53">
              <w:rPr>
                <w:szCs w:val="20"/>
              </w:rPr>
              <w:t>RMorgenstern@co.tuolumne.ca.us</w:t>
            </w:r>
            <w:proofErr w:type="gramEnd"/>
            <w:r w:rsidRPr="009D3D53">
              <w:rPr>
                <w:rStyle w:val="Hyperlink"/>
                <w:szCs w:val="20"/>
              </w:rPr>
              <w:t>, 209-533-7416</w:t>
            </w:r>
          </w:p>
        </w:tc>
      </w:tr>
    </w:tbl>
    <w:p w:rsidR="006746F8" w:rsidRPr="00B51EF7" w:rsidRDefault="006746F8" w:rsidP="006746F8">
      <w:pPr>
        <w:pStyle w:val="BodyText"/>
      </w:pPr>
    </w:p>
    <w:p w:rsidR="006746F8" w:rsidRPr="00B51EF7" w:rsidRDefault="006746F8" w:rsidP="006746F8">
      <w:pPr>
        <w:pStyle w:val="BodyText"/>
        <w:sectPr w:rsidR="006746F8" w:rsidRPr="00B51EF7" w:rsidSect="006746F8">
          <w:headerReference w:type="default" r:id="rId17"/>
          <w:footerReference w:type="default" r:id="rId18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:rsidR="00D31366" w:rsidRPr="00B51EF7" w:rsidRDefault="00F466AA" w:rsidP="00D31366">
      <w:pPr>
        <w:pStyle w:val="Heading1"/>
        <w:spacing w:before="200" w:after="120"/>
      </w:pPr>
      <w:r w:rsidRPr="00B51EF7">
        <w:lastRenderedPageBreak/>
        <w:t>Analysis of Core Capabilities</w:t>
      </w:r>
    </w:p>
    <w:p w:rsidR="00F466AA" w:rsidRPr="00B51EF7" w:rsidRDefault="00F466AA" w:rsidP="00256CA6">
      <w:pPr>
        <w:pStyle w:val="BodyText"/>
      </w:pPr>
      <w:bookmarkStart w:id="1" w:name="_Toc336197853"/>
      <w:bookmarkStart w:id="2" w:name="_Toc336426625"/>
      <w:r w:rsidRPr="00B51EF7">
        <w:t xml:space="preserve">Aligning exercise objectives and core capabilities provides a consistent taxonomy for evaluation that transcends individual exercises to support preparedness reporting and trend analysis.  </w:t>
      </w:r>
      <w:r w:rsidR="004F37DF">
        <w:t>Table 1</w:t>
      </w:r>
      <w:r w:rsidRPr="00B51EF7">
        <w:t xml:space="preserve"> includes the exercise objectives, aligned core capabilities, and performance ratings for each core capability as observed during the exercise and determined by the evaluation team.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1283"/>
        <w:gridCol w:w="1332"/>
        <w:gridCol w:w="1332"/>
        <w:gridCol w:w="1332"/>
        <w:gridCol w:w="1332"/>
      </w:tblGrid>
      <w:tr w:rsidR="00F466AA" w:rsidRPr="00B51EF7" w:rsidTr="0080430F">
        <w:trPr>
          <w:tblHeader/>
          <w:jc w:val="center"/>
        </w:trPr>
        <w:tc>
          <w:tcPr>
            <w:tcW w:w="2965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bookmarkEnd w:id="1"/>
          <w:bookmarkEnd w:id="2"/>
          <w:p w:rsidR="00F466AA" w:rsidRPr="00B51EF7" w:rsidRDefault="00F466AA" w:rsidP="00037C2C">
            <w:pPr>
              <w:pStyle w:val="TableHead"/>
            </w:pPr>
            <w:r w:rsidRPr="00B51EF7">
              <w:t>Objective</w:t>
            </w:r>
          </w:p>
        </w:tc>
        <w:tc>
          <w:tcPr>
            <w:tcW w:w="1283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Core Capability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without Challenges (P)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 Some Challenges (S)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 Major Challenges (M)</w:t>
            </w:r>
          </w:p>
        </w:tc>
        <w:tc>
          <w:tcPr>
            <w:tcW w:w="1332" w:type="dxa"/>
            <w:tcBorders>
              <w:lef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Unable to be Performed (U)</w:t>
            </w:r>
          </w:p>
        </w:tc>
      </w:tr>
      <w:tr w:rsidR="00F466AA" w:rsidRPr="00B51EF7" w:rsidTr="0080430F">
        <w:trPr>
          <w:jc w:val="center"/>
        </w:trPr>
        <w:tc>
          <w:tcPr>
            <w:tcW w:w="2965" w:type="dxa"/>
          </w:tcPr>
          <w:p w:rsidR="00F466AA" w:rsidRPr="002D1D44" w:rsidRDefault="002D1D44" w:rsidP="00256CA6">
            <w:pPr>
              <w:rPr>
                <w:rFonts w:ascii="Arial" w:hAnsi="Arial" w:cs="Arial"/>
                <w:szCs w:val="20"/>
              </w:rPr>
            </w:pPr>
            <w:r w:rsidRPr="002D1D44">
              <w:rPr>
                <w:rFonts w:ascii="Arial" w:hAnsi="Arial" w:cs="Arial"/>
                <w:sz w:val="20"/>
                <w:szCs w:val="20"/>
              </w:rPr>
              <w:t>Public Health will utilize the California Health Alert Network (CAHAN) system to alert HCSC partners of a potential Public Safety Power Shutoff (PSPS) and to remind them to charge their radios and begin outreach to clients with Access and Functional Needs (AFN).</w:t>
            </w:r>
          </w:p>
        </w:tc>
        <w:tc>
          <w:tcPr>
            <w:tcW w:w="1283" w:type="dxa"/>
          </w:tcPr>
          <w:p w:rsidR="00F466AA" w:rsidRPr="00B51EF7" w:rsidRDefault="00560279" w:rsidP="009C1950">
            <w:pPr>
              <w:pStyle w:val="Tabletext"/>
            </w:pPr>
            <w:r w:rsidRPr="00560279">
              <w:t>Information Sharing</w:t>
            </w:r>
          </w:p>
        </w:tc>
        <w:tc>
          <w:tcPr>
            <w:tcW w:w="1332" w:type="dxa"/>
          </w:tcPr>
          <w:p w:rsidR="00F466AA" w:rsidRPr="00E17D14" w:rsidRDefault="00F466AA" w:rsidP="00E17D14">
            <w:pPr>
              <w:pStyle w:val="Tabletext"/>
              <w:jc w:val="center"/>
              <w:rPr>
                <w:sz w:val="72"/>
              </w:rPr>
            </w:pPr>
          </w:p>
        </w:tc>
        <w:tc>
          <w:tcPr>
            <w:tcW w:w="1332" w:type="dxa"/>
          </w:tcPr>
          <w:p w:rsidR="00F466AA" w:rsidRPr="00E17D14" w:rsidRDefault="008359C0" w:rsidP="00E17D14">
            <w:pPr>
              <w:pStyle w:val="Tabletext"/>
              <w:jc w:val="center"/>
              <w:rPr>
                <w:sz w:val="72"/>
              </w:rPr>
            </w:pPr>
            <w:r w:rsidRPr="00E17D14">
              <w:rPr>
                <w:sz w:val="72"/>
              </w:rPr>
              <w:t>S</w:t>
            </w: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  <w:jc w:val="center"/>
            </w:pPr>
          </w:p>
        </w:tc>
      </w:tr>
      <w:tr w:rsidR="00F466AA" w:rsidRPr="00B51EF7" w:rsidTr="0080430F">
        <w:trPr>
          <w:jc w:val="center"/>
        </w:trPr>
        <w:tc>
          <w:tcPr>
            <w:tcW w:w="2965" w:type="dxa"/>
          </w:tcPr>
          <w:p w:rsidR="00F466AA" w:rsidRPr="003A3A91" w:rsidRDefault="003A3A91" w:rsidP="00256CA6">
            <w:pPr>
              <w:rPr>
                <w:rFonts w:ascii="Arial" w:hAnsi="Arial" w:cs="Arial"/>
                <w:szCs w:val="20"/>
              </w:rPr>
            </w:pPr>
            <w:r w:rsidRPr="003A3A91">
              <w:rPr>
                <w:rFonts w:ascii="Arial" w:hAnsi="Arial" w:cs="Arial"/>
                <w:sz w:val="20"/>
                <w:szCs w:val="20"/>
              </w:rPr>
              <w:t xml:space="preserve">Coalition partners will successfully communicate with Tuolumne County Public Health and the Medical Health Operational Area Coordinator (MHOAC) via </w:t>
            </w:r>
            <w:proofErr w:type="spellStart"/>
            <w:r w:rsidRPr="003A3A91">
              <w:rPr>
                <w:rFonts w:ascii="Arial" w:hAnsi="Arial" w:cs="Arial"/>
                <w:sz w:val="20"/>
                <w:szCs w:val="20"/>
              </w:rPr>
              <w:t>EMResource</w:t>
            </w:r>
            <w:proofErr w:type="spellEnd"/>
            <w:r w:rsidRPr="003A3A91">
              <w:rPr>
                <w:rFonts w:ascii="Arial" w:hAnsi="Arial" w:cs="Arial"/>
                <w:sz w:val="20"/>
                <w:szCs w:val="20"/>
              </w:rPr>
              <w:t xml:space="preserve">, fax, phone, and radio. </w:t>
            </w:r>
          </w:p>
        </w:tc>
        <w:tc>
          <w:tcPr>
            <w:tcW w:w="1283" w:type="dxa"/>
          </w:tcPr>
          <w:p w:rsidR="00F466AA" w:rsidRPr="00B51EF7" w:rsidRDefault="00560279" w:rsidP="009C1950">
            <w:pPr>
              <w:pStyle w:val="Tabletext"/>
            </w:pPr>
            <w:r w:rsidRPr="00560279">
              <w:t>Information Sharing</w:t>
            </w:r>
          </w:p>
        </w:tc>
        <w:tc>
          <w:tcPr>
            <w:tcW w:w="1332" w:type="dxa"/>
          </w:tcPr>
          <w:p w:rsidR="00F466AA" w:rsidRPr="00E17D14" w:rsidRDefault="00F466AA" w:rsidP="00E17D14">
            <w:pPr>
              <w:pStyle w:val="Tabletext"/>
              <w:jc w:val="center"/>
              <w:rPr>
                <w:sz w:val="72"/>
              </w:rPr>
            </w:pPr>
          </w:p>
        </w:tc>
        <w:tc>
          <w:tcPr>
            <w:tcW w:w="1332" w:type="dxa"/>
          </w:tcPr>
          <w:p w:rsidR="00F466AA" w:rsidRPr="00E17D14" w:rsidRDefault="00E17D14" w:rsidP="00E17D14">
            <w:pPr>
              <w:pStyle w:val="Tabletext"/>
              <w:jc w:val="center"/>
              <w:rPr>
                <w:sz w:val="72"/>
              </w:rPr>
            </w:pPr>
            <w:r w:rsidRPr="00E17D14">
              <w:rPr>
                <w:sz w:val="72"/>
              </w:rPr>
              <w:t>S</w:t>
            </w: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:rsidTr="0080430F">
        <w:trPr>
          <w:jc w:val="center"/>
        </w:trPr>
        <w:tc>
          <w:tcPr>
            <w:tcW w:w="2965" w:type="dxa"/>
          </w:tcPr>
          <w:p w:rsidR="00037C2C" w:rsidRPr="003A3A91" w:rsidRDefault="003A3A91" w:rsidP="00256CA6">
            <w:pPr>
              <w:rPr>
                <w:rFonts w:ascii="Arial" w:hAnsi="Arial" w:cs="Arial"/>
                <w:szCs w:val="20"/>
              </w:rPr>
            </w:pPr>
            <w:r w:rsidRPr="003A3A91">
              <w:rPr>
                <w:rFonts w:ascii="Arial" w:hAnsi="Arial" w:cs="Arial"/>
                <w:sz w:val="20"/>
                <w:szCs w:val="20"/>
              </w:rPr>
              <w:t xml:space="preserve">The MHOAC will submit an update regarding the status of the local healthcare system to Tuolumne County Office of Emergency Services (OES). </w:t>
            </w:r>
          </w:p>
        </w:tc>
        <w:tc>
          <w:tcPr>
            <w:tcW w:w="1283" w:type="dxa"/>
          </w:tcPr>
          <w:p w:rsidR="00037C2C" w:rsidRPr="00B51EF7" w:rsidRDefault="00560279" w:rsidP="009C1950">
            <w:pPr>
              <w:pStyle w:val="Tabletext"/>
            </w:pPr>
            <w:r w:rsidRPr="00560279">
              <w:t>Information Sharing</w:t>
            </w:r>
          </w:p>
        </w:tc>
        <w:tc>
          <w:tcPr>
            <w:tcW w:w="1332" w:type="dxa"/>
          </w:tcPr>
          <w:p w:rsidR="00037C2C" w:rsidRPr="00E17D14" w:rsidRDefault="00E17D14" w:rsidP="00E17D14">
            <w:pPr>
              <w:pStyle w:val="Tabletext"/>
              <w:jc w:val="center"/>
              <w:rPr>
                <w:sz w:val="72"/>
              </w:rPr>
            </w:pPr>
            <w:r w:rsidRPr="00E17D14">
              <w:rPr>
                <w:sz w:val="72"/>
              </w:rPr>
              <w:t>P</w:t>
            </w:r>
          </w:p>
        </w:tc>
        <w:tc>
          <w:tcPr>
            <w:tcW w:w="1332" w:type="dxa"/>
          </w:tcPr>
          <w:p w:rsidR="00037C2C" w:rsidRPr="00E17D14" w:rsidRDefault="00037C2C" w:rsidP="00E17D14">
            <w:pPr>
              <w:pStyle w:val="Tabletext"/>
              <w:jc w:val="center"/>
              <w:rPr>
                <w:sz w:val="72"/>
              </w:rPr>
            </w:pP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  <w:jc w:val="center"/>
            </w:pPr>
          </w:p>
        </w:tc>
      </w:tr>
      <w:tr w:rsidR="00F466AA" w:rsidRPr="00B51EF7" w:rsidTr="0080430F">
        <w:trPr>
          <w:jc w:val="center"/>
        </w:trPr>
        <w:tc>
          <w:tcPr>
            <w:tcW w:w="2965" w:type="dxa"/>
            <w:tcBorders>
              <w:bottom w:val="single" w:sz="12" w:space="0" w:color="auto"/>
            </w:tcBorders>
          </w:tcPr>
          <w:p w:rsidR="00F466AA" w:rsidRPr="00B51EF7" w:rsidRDefault="003A3A91" w:rsidP="00256CA6">
            <w:pPr>
              <w:pStyle w:val="Tabletext"/>
              <w:spacing w:before="0" w:after="0"/>
            </w:pPr>
            <w:r w:rsidRPr="00A22A3F">
              <w:rPr>
                <w:szCs w:val="20"/>
              </w:rPr>
              <w:t>The MHOAC will submit a Situation Report to the Regional Disaster Medical Health Specialist.</w:t>
            </w: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:rsidR="00F466AA" w:rsidRPr="00B51EF7" w:rsidRDefault="00560279" w:rsidP="009C1950">
            <w:pPr>
              <w:pStyle w:val="Tabletext"/>
            </w:pPr>
            <w:r w:rsidRPr="00560279">
              <w:t>Information Sharing</w:t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E17D14" w:rsidRDefault="00E17D14" w:rsidP="00E17D14">
            <w:pPr>
              <w:pStyle w:val="Tabletext"/>
              <w:jc w:val="center"/>
              <w:rPr>
                <w:sz w:val="72"/>
              </w:rPr>
            </w:pPr>
            <w:r w:rsidRPr="00E17D14">
              <w:rPr>
                <w:sz w:val="72"/>
              </w:rPr>
              <w:t>P</w:t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E17D14" w:rsidRDefault="00F466AA" w:rsidP="00E17D14">
            <w:pPr>
              <w:pStyle w:val="Tabletext"/>
              <w:jc w:val="center"/>
              <w:rPr>
                <w:sz w:val="72"/>
              </w:rPr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:rsidTr="003A3A91">
        <w:trPr>
          <w:jc w:val="center"/>
        </w:trPr>
        <w:tc>
          <w:tcPr>
            <w:tcW w:w="9576" w:type="dxa"/>
            <w:gridSpan w:val="6"/>
            <w:tcBorders>
              <w:top w:val="single" w:sz="12" w:space="0" w:color="auto"/>
            </w:tcBorders>
          </w:tcPr>
          <w:p w:rsidR="00037C2C" w:rsidRPr="00B51EF7" w:rsidRDefault="00037C2C" w:rsidP="00037C2C">
            <w:pPr>
              <w:widowControl w:val="0"/>
              <w:autoSpaceDE w:val="0"/>
              <w:autoSpaceDN w:val="0"/>
              <w:adjustRightInd w:val="0"/>
              <w:ind w:left="180" w:right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1EF7">
              <w:rPr>
                <w:rFonts w:ascii="Arial" w:hAnsi="Arial" w:cs="Arial"/>
                <w:b/>
                <w:sz w:val="18"/>
                <w:szCs w:val="18"/>
              </w:rPr>
              <w:t>Ratings Definitions: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without Challenges (P):  The targets and critical tasks associated with the core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Some Challenges (S):  The targets and critical tasks associated with the core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  However, opportunities to enhance effectiveness and/or efficiency were identified.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Major Challenges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(M)</w:t>
            </w:r>
            <w:r w:rsidRPr="00B51EF7">
              <w:rPr>
                <w:rFonts w:ascii="Arial" w:hAnsi="Arial" w:cs="Arial"/>
                <w:sz w:val="18"/>
                <w:szCs w:val="18"/>
              </w:rPr>
              <w:t>:  The targets and critical tasks associated with the core capability were completed in a manner that achieved the objective(s), but some or all of the following were observed: 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Unable to be Performed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(U)</w:t>
            </w:r>
            <w:r w:rsidRPr="00B51EF7">
              <w:rPr>
                <w:rFonts w:ascii="Arial" w:hAnsi="Arial" w:cs="Arial"/>
                <w:sz w:val="18"/>
                <w:szCs w:val="18"/>
              </w:rPr>
              <w:t>:  The targets and critical tasks associated with the core capability were not performed in a manner that achieved the objective(s).</w:t>
            </w:r>
          </w:p>
        </w:tc>
      </w:tr>
    </w:tbl>
    <w:p w:rsidR="00901334" w:rsidRDefault="009C1950" w:rsidP="00CD4360">
      <w:pPr>
        <w:pStyle w:val="HSEEPFigureTitle"/>
        <w:jc w:val="left"/>
      </w:pPr>
      <w:r w:rsidRPr="00B51EF7">
        <w:lastRenderedPageBreak/>
        <w:t xml:space="preserve">Table 1. </w:t>
      </w:r>
      <w:r w:rsidR="00F466AA" w:rsidRPr="00B51EF7">
        <w:t>Summary of Core Capability Performance</w:t>
      </w:r>
    </w:p>
    <w:p w:rsidR="00CD4360" w:rsidRDefault="007F0221" w:rsidP="00CD4360">
      <w:pPr>
        <w:pStyle w:val="HSEEPFigureTitle"/>
        <w:jc w:val="left"/>
      </w:pPr>
      <w:r w:rsidRPr="00B51EF7">
        <w:t>The following sections provide an overview of the performance related to each exercise objective and associated core capability, highlighting strengths and areas for improvemen</w:t>
      </w:r>
      <w:r w:rsidR="009377B8">
        <w:t>ts.</w:t>
      </w:r>
    </w:p>
    <w:p w:rsidR="00CD4360" w:rsidRPr="00B51EF7" w:rsidRDefault="00CD4360" w:rsidP="00CD4360">
      <w:pPr>
        <w:pStyle w:val="Heading2"/>
      </w:pPr>
      <w:r w:rsidRPr="00267EA8">
        <w:t xml:space="preserve">Objective </w:t>
      </w:r>
      <w:r>
        <w:t>1</w:t>
      </w:r>
      <w:r w:rsidRPr="00267EA8">
        <w:t xml:space="preserve">: </w:t>
      </w:r>
      <w:r>
        <w:t xml:space="preserve">Public Health will utilize the California Health Alert Network (CAHAN) system to alert HCSC partners of a potential Public Safety Power Shutoff (PSPS) and to remind them to charge their radios and begin outreach to clients with Access and Functional Needs (AFN). </w:t>
      </w:r>
    </w:p>
    <w:p w:rsidR="00576DCA" w:rsidRPr="00B51EF7" w:rsidRDefault="00576DCA" w:rsidP="00576DCA">
      <w:pPr>
        <w:pStyle w:val="Heading3"/>
      </w:pPr>
      <w:r w:rsidRPr="00B51EF7">
        <w:t>Strengths</w:t>
      </w:r>
    </w:p>
    <w:p w:rsidR="00576DCA" w:rsidRPr="00B51EF7" w:rsidRDefault="00576DCA" w:rsidP="007F0221">
      <w:pPr>
        <w:pStyle w:val="BodyText"/>
      </w:pPr>
      <w:r w:rsidRPr="00B51EF7">
        <w:t xml:space="preserve">The </w:t>
      </w:r>
      <w:r w:rsidRPr="005B5C9E">
        <w:t>partial</w:t>
      </w:r>
      <w:r w:rsidRPr="00B51EF7">
        <w:t xml:space="preserve"> capability level can be attributed to the following strengths: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1:</w:t>
      </w:r>
      <w:r w:rsidRPr="00B51EF7">
        <w:t xml:space="preserve">  </w:t>
      </w:r>
      <w:r w:rsidR="00212278" w:rsidRPr="00750F44">
        <w:t>The CAHAN system</w:t>
      </w:r>
      <w:r w:rsidR="00750F44" w:rsidRPr="00750F44">
        <w:t xml:space="preserve"> was easy to use and </w:t>
      </w:r>
      <w:r w:rsidR="005E0591">
        <w:t>wa</w:t>
      </w:r>
      <w:r w:rsidR="00125BEC">
        <w:t xml:space="preserve">s </w:t>
      </w:r>
      <w:r w:rsidR="00750F44" w:rsidRPr="00750F44">
        <w:t xml:space="preserve">an efficient method for quickly disseminating a message to the HCSC. </w:t>
      </w:r>
    </w:p>
    <w:p w:rsidR="00576DCA" w:rsidRPr="00B51EF7" w:rsidRDefault="00576DCA" w:rsidP="00707C30">
      <w:pPr>
        <w:pStyle w:val="Heading3"/>
      </w:pPr>
      <w:r w:rsidRPr="00B51EF7">
        <w:t>Areas for Improvement</w:t>
      </w:r>
    </w:p>
    <w:p w:rsidR="00576DCA" w:rsidRPr="00B51EF7" w:rsidRDefault="00576DCA" w:rsidP="007F0221">
      <w:pPr>
        <w:pStyle w:val="BodyText"/>
      </w:pPr>
      <w:r w:rsidRPr="00B51EF7">
        <w:t>The following areas require improvement to achieve the full capability level: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Area for Improvement 1:</w:t>
      </w:r>
      <w:r w:rsidRPr="00B51EF7">
        <w:t xml:space="preserve">  </w:t>
      </w:r>
      <w:r w:rsidR="00E7601E" w:rsidRPr="00E7601E">
        <w:t xml:space="preserve">Only 38 HCSC partners were enrolled in CAHAN, so many key partners did not receive the message. </w:t>
      </w:r>
    </w:p>
    <w:p w:rsidR="00707C30" w:rsidRDefault="00707C30" w:rsidP="00707C30">
      <w:pPr>
        <w:pStyle w:val="BodyText"/>
      </w:pPr>
      <w:r w:rsidRPr="00B51EF7">
        <w:rPr>
          <w:rStyle w:val="Heading4Char"/>
        </w:rPr>
        <w:t>Area for Improvement 2:</w:t>
      </w:r>
      <w:r w:rsidRPr="00B51EF7">
        <w:t xml:space="preserve">  </w:t>
      </w:r>
      <w:r w:rsidR="00644CE9" w:rsidRPr="001B4FB6">
        <w:t>The CAHAN response rate was 73.6%</w:t>
      </w:r>
      <w:r w:rsidR="001B4FB6" w:rsidRPr="001B4FB6">
        <w:t xml:space="preserve">, which </w:t>
      </w:r>
      <w:r w:rsidR="0077226A">
        <w:t>was</w:t>
      </w:r>
      <w:r w:rsidR="001B4FB6" w:rsidRPr="001B4FB6">
        <w:t xml:space="preserve"> partially due to some partners only having one or two communication methods available. </w:t>
      </w:r>
    </w:p>
    <w:p w:rsidR="00CC2E43" w:rsidRDefault="00CC2E43" w:rsidP="00707C30">
      <w:pPr>
        <w:pStyle w:val="Body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-523875</wp:posOffset>
            </wp:positionH>
            <wp:positionV relativeFrom="paragraph">
              <wp:posOffset>25400</wp:posOffset>
            </wp:positionV>
            <wp:extent cx="3352800" cy="28181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8CE53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E43" w:rsidRDefault="00CC2E43" w:rsidP="00707C30">
      <w:pPr>
        <w:pStyle w:val="BodyText"/>
      </w:pPr>
    </w:p>
    <w:p w:rsidR="00CC2E43" w:rsidRDefault="00CC2E43" w:rsidP="00707C30">
      <w:pPr>
        <w:pStyle w:val="BodyText"/>
      </w:pPr>
    </w:p>
    <w:p w:rsidR="00CC2E43" w:rsidRDefault="00CC2E43" w:rsidP="00707C30">
      <w:pPr>
        <w:pStyle w:val="BodyText"/>
      </w:pPr>
    </w:p>
    <w:p w:rsidR="00CC2E43" w:rsidRDefault="00CC2E43" w:rsidP="00707C30">
      <w:pPr>
        <w:pStyle w:val="BodyText"/>
      </w:pPr>
    </w:p>
    <w:p w:rsidR="00CC2E43" w:rsidRDefault="00CC2E43" w:rsidP="00707C30">
      <w:pPr>
        <w:pStyle w:val="BodyText"/>
      </w:pPr>
    </w:p>
    <w:p w:rsidR="00CC2E43" w:rsidRPr="00B51EF7" w:rsidRDefault="00706410" w:rsidP="00707C30">
      <w:pPr>
        <w:pStyle w:val="BodyTex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1314450</wp:posOffset>
            </wp:positionH>
            <wp:positionV relativeFrom="paragraph">
              <wp:posOffset>419100</wp:posOffset>
            </wp:positionV>
            <wp:extent cx="5244678" cy="1447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8EE17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678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E43" w:rsidRDefault="00CC2E43" w:rsidP="00707C30">
      <w:pPr>
        <w:pStyle w:val="Heading2"/>
      </w:pPr>
    </w:p>
    <w:p w:rsidR="00706410" w:rsidRPr="00706410" w:rsidRDefault="00706410" w:rsidP="00706410"/>
    <w:p w:rsidR="00707C30" w:rsidRPr="00B51EF7" w:rsidRDefault="00267EA8" w:rsidP="00707C30">
      <w:pPr>
        <w:pStyle w:val="Heading2"/>
      </w:pPr>
      <w:r w:rsidRPr="00267EA8">
        <w:lastRenderedPageBreak/>
        <w:t xml:space="preserve">Objective 2: Coalition partners will successfully communicate with Tuolumne County Public Health and the Medical Health Operational Area Coordinator (MHOAC) via </w:t>
      </w:r>
      <w:proofErr w:type="spellStart"/>
      <w:r w:rsidRPr="00267EA8">
        <w:t>EMResource</w:t>
      </w:r>
      <w:proofErr w:type="spellEnd"/>
      <w:r w:rsidRPr="00267EA8">
        <w:t>, fax, phone, and radio.</w:t>
      </w:r>
    </w:p>
    <w:p w:rsidR="00707C30" w:rsidRPr="00B51EF7" w:rsidRDefault="00707C30" w:rsidP="00707C30">
      <w:pPr>
        <w:pStyle w:val="Heading3"/>
      </w:pPr>
      <w:r w:rsidRPr="00B51EF7">
        <w:t>Strengths</w:t>
      </w:r>
    </w:p>
    <w:p w:rsidR="00707C30" w:rsidRPr="00B51EF7" w:rsidRDefault="00707C30" w:rsidP="00707C30">
      <w:pPr>
        <w:pStyle w:val="BodyText"/>
      </w:pPr>
      <w:r w:rsidRPr="00B51EF7">
        <w:t xml:space="preserve">The </w:t>
      </w:r>
      <w:r w:rsidRPr="005B5C9E">
        <w:t>partial</w:t>
      </w:r>
      <w:r w:rsidRPr="00B51EF7">
        <w:t xml:space="preserve"> capability level can be attributed to the following strengths: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1:</w:t>
      </w:r>
      <w:r w:rsidRPr="00B51EF7">
        <w:t xml:space="preserve">  </w:t>
      </w:r>
      <w:r w:rsidR="007E40AB" w:rsidRPr="007E40AB">
        <w:t xml:space="preserve">Those who participated reported that they were easily able to follow procedure and contact the MHOAC and/or Public Health via </w:t>
      </w:r>
      <w:proofErr w:type="spellStart"/>
      <w:r w:rsidR="007E40AB" w:rsidRPr="007E40AB">
        <w:t>EMResource</w:t>
      </w:r>
      <w:proofErr w:type="spellEnd"/>
      <w:r w:rsidR="007E40AB" w:rsidRPr="007E40AB">
        <w:t xml:space="preserve">, fax, phone, and radio. 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2:</w:t>
      </w:r>
      <w:r w:rsidRPr="00B51EF7">
        <w:t xml:space="preserve">  </w:t>
      </w:r>
      <w:r w:rsidR="007E40AB" w:rsidRPr="007E40AB">
        <w:t>The Public Health receptionists c</w:t>
      </w:r>
      <w:r w:rsidR="005E0591">
        <w:t>o</w:t>
      </w:r>
      <w:r w:rsidR="007E40AB" w:rsidRPr="007E40AB">
        <w:t>rre</w:t>
      </w:r>
      <w:r w:rsidR="005E0591">
        <w:t>ctly</w:t>
      </w:r>
      <w:r w:rsidR="007E40AB" w:rsidRPr="007E40AB">
        <w:t xml:space="preserve"> transferred all calls for the MHOAC to Clarence Teem or Dr. Bernstein</w:t>
      </w:r>
      <w:r w:rsidR="005E0591">
        <w:t xml:space="preserve"> (note: Dr. Freeman was also present)</w:t>
      </w:r>
      <w:r w:rsidR="007E40AB" w:rsidRPr="007E40AB">
        <w:t xml:space="preserve">. </w:t>
      </w:r>
    </w:p>
    <w:p w:rsidR="00707C30" w:rsidRPr="00B51EF7" w:rsidRDefault="00707C30" w:rsidP="00707C30">
      <w:pPr>
        <w:pStyle w:val="Heading3"/>
      </w:pPr>
      <w:r w:rsidRPr="00B51EF7">
        <w:t>Areas for Improvement</w:t>
      </w:r>
    </w:p>
    <w:p w:rsidR="00707C30" w:rsidRPr="00B51EF7" w:rsidRDefault="00707C30" w:rsidP="00707C30">
      <w:pPr>
        <w:pStyle w:val="BodyText"/>
      </w:pPr>
      <w:r w:rsidRPr="00B51EF7">
        <w:t>The following areas require improvement to achieve the full capability level:</w:t>
      </w:r>
    </w:p>
    <w:p w:rsidR="00707C30" w:rsidRDefault="00707C30" w:rsidP="00707C30">
      <w:pPr>
        <w:pStyle w:val="BodyText"/>
      </w:pPr>
      <w:r w:rsidRPr="00B51EF7">
        <w:rPr>
          <w:rStyle w:val="Heading4Char"/>
        </w:rPr>
        <w:t>Area for Improvement 1:</w:t>
      </w:r>
      <w:r w:rsidRPr="00B51EF7">
        <w:t xml:space="preserve">  </w:t>
      </w:r>
      <w:r w:rsidR="00F024BA" w:rsidRPr="00F024BA">
        <w:t xml:space="preserve">HCSC partner participation in the exercise was low. </w:t>
      </w:r>
    </w:p>
    <w:p w:rsidR="00E76CF8" w:rsidRDefault="00E76CF8" w:rsidP="00707C30">
      <w:pPr>
        <w:pStyle w:val="BodyText"/>
      </w:pPr>
      <w:r w:rsidRPr="00B51EF7">
        <w:rPr>
          <w:rStyle w:val="Heading4Char"/>
        </w:rPr>
        <w:t xml:space="preserve">Area for Improvement </w:t>
      </w:r>
      <w:r>
        <w:rPr>
          <w:rStyle w:val="Heading4Char"/>
        </w:rPr>
        <w:t>2</w:t>
      </w:r>
      <w:r w:rsidRPr="00B51EF7">
        <w:rPr>
          <w:rStyle w:val="Heading4Char"/>
        </w:rPr>
        <w:t>:</w:t>
      </w:r>
      <w:r w:rsidRPr="00B51EF7">
        <w:t xml:space="preserve">  </w:t>
      </w:r>
      <w:r>
        <w:t xml:space="preserve">Tuolumne County Behavioral Health reported that their radio transmission was unclear and that some of their radios were malfunctioning. </w:t>
      </w:r>
    </w:p>
    <w:p w:rsidR="00267EA8" w:rsidRPr="00B51EF7" w:rsidRDefault="00267EA8" w:rsidP="00267EA8">
      <w:pPr>
        <w:pStyle w:val="Heading2"/>
      </w:pPr>
      <w:r w:rsidRPr="00267EA8">
        <w:t xml:space="preserve">Objective </w:t>
      </w:r>
      <w:r>
        <w:t>3</w:t>
      </w:r>
      <w:r w:rsidRPr="00267EA8">
        <w:t xml:space="preserve">: </w:t>
      </w:r>
      <w:r>
        <w:t>The MHOAC will submit an update regarding the status of the local healthcare system to Tuolumne County Office of Emergency Services.</w:t>
      </w:r>
    </w:p>
    <w:p w:rsidR="00267EA8" w:rsidRPr="00B51EF7" w:rsidRDefault="00267EA8" w:rsidP="00267EA8">
      <w:pPr>
        <w:pStyle w:val="Heading3"/>
      </w:pPr>
      <w:r w:rsidRPr="00B51EF7">
        <w:t>Strengths</w:t>
      </w:r>
    </w:p>
    <w:p w:rsidR="00267EA8" w:rsidRPr="00B51EF7" w:rsidRDefault="00267EA8" w:rsidP="00267EA8">
      <w:pPr>
        <w:pStyle w:val="BodyText"/>
      </w:pPr>
      <w:r w:rsidRPr="00B51EF7">
        <w:t xml:space="preserve">The </w:t>
      </w:r>
      <w:r w:rsidRPr="005B5C9E">
        <w:t>full</w:t>
      </w:r>
      <w:r w:rsidRPr="00B51EF7">
        <w:t xml:space="preserve"> capability level can be attributed to the following strengths:</w:t>
      </w:r>
    </w:p>
    <w:p w:rsidR="00267EA8" w:rsidRPr="00B51EF7" w:rsidRDefault="00267EA8" w:rsidP="00267EA8">
      <w:pPr>
        <w:pStyle w:val="BodyText"/>
      </w:pPr>
      <w:r w:rsidRPr="00B51EF7">
        <w:rPr>
          <w:rStyle w:val="Heading4Char"/>
        </w:rPr>
        <w:t>Strength 1:</w:t>
      </w:r>
      <w:r w:rsidRPr="00B51EF7">
        <w:t xml:space="preserve">  </w:t>
      </w:r>
      <w:r w:rsidR="00F85F83" w:rsidRPr="00BB559E">
        <w:t xml:space="preserve">The </w:t>
      </w:r>
      <w:r w:rsidR="00D91290" w:rsidRPr="00BB559E">
        <w:t>OES Coordinator was included in the Situation Report submission to the Region IV RDMHS</w:t>
      </w:r>
      <w:r w:rsidR="00BB559E" w:rsidRPr="00BB559E">
        <w:t xml:space="preserve"> and the MHOACs plan to continue this practice to ensure the OES Coordinator is aware of the status of the local healthcare system. </w:t>
      </w:r>
    </w:p>
    <w:p w:rsidR="00267EA8" w:rsidRPr="00B51EF7" w:rsidRDefault="00267EA8" w:rsidP="00267EA8">
      <w:pPr>
        <w:pStyle w:val="Heading3"/>
      </w:pPr>
      <w:r w:rsidRPr="00B51EF7">
        <w:t>Areas for Improvement</w:t>
      </w:r>
    </w:p>
    <w:p w:rsidR="00267EA8" w:rsidRPr="00B51EF7" w:rsidRDefault="00267EA8" w:rsidP="00267EA8">
      <w:pPr>
        <w:pStyle w:val="BodyText"/>
      </w:pPr>
      <w:r w:rsidRPr="00B51EF7">
        <w:t>The following areas require improvement to achieve the full capability level:</w:t>
      </w:r>
    </w:p>
    <w:p w:rsidR="00267EA8" w:rsidRPr="00B51EF7" w:rsidRDefault="00267EA8" w:rsidP="00267EA8">
      <w:pPr>
        <w:pStyle w:val="BodyText"/>
      </w:pPr>
      <w:r w:rsidRPr="00B51EF7">
        <w:rPr>
          <w:rStyle w:val="Heading4Char"/>
        </w:rPr>
        <w:t>Area for Improvement 1:</w:t>
      </w:r>
      <w:r w:rsidRPr="00B51EF7">
        <w:t xml:space="preserve">  </w:t>
      </w:r>
      <w:r w:rsidR="002F4C4B" w:rsidRPr="002F4C4B">
        <w:t>none</w:t>
      </w:r>
    </w:p>
    <w:p w:rsidR="00267EA8" w:rsidRDefault="00267EA8" w:rsidP="00707C30">
      <w:pPr>
        <w:pStyle w:val="BodyText"/>
      </w:pPr>
    </w:p>
    <w:p w:rsidR="00267EA8" w:rsidRPr="00B51EF7" w:rsidRDefault="00267EA8" w:rsidP="00267EA8">
      <w:pPr>
        <w:pStyle w:val="Heading2"/>
      </w:pPr>
      <w:r w:rsidRPr="00267EA8">
        <w:t xml:space="preserve">Objective </w:t>
      </w:r>
      <w:r>
        <w:t>4</w:t>
      </w:r>
      <w:r w:rsidRPr="00267EA8">
        <w:t xml:space="preserve">: </w:t>
      </w:r>
      <w:r w:rsidR="00A775E2">
        <w:t>The MHOAC will submit a Situation Report to the Regional Disaster Medical Health Specialist.</w:t>
      </w:r>
    </w:p>
    <w:p w:rsidR="00267EA8" w:rsidRPr="00B51EF7" w:rsidRDefault="00267EA8" w:rsidP="00267EA8">
      <w:pPr>
        <w:pStyle w:val="Heading3"/>
      </w:pPr>
      <w:r w:rsidRPr="00B51EF7">
        <w:t>Strengths</w:t>
      </w:r>
    </w:p>
    <w:p w:rsidR="00267EA8" w:rsidRPr="00B51EF7" w:rsidRDefault="00267EA8" w:rsidP="00267EA8">
      <w:pPr>
        <w:pStyle w:val="BodyText"/>
      </w:pPr>
      <w:r w:rsidRPr="00B51EF7">
        <w:t xml:space="preserve">The </w:t>
      </w:r>
      <w:r w:rsidRPr="005B5C9E">
        <w:t>full</w:t>
      </w:r>
      <w:r w:rsidRPr="00B51EF7">
        <w:t xml:space="preserve"> capability level can be attributed to the following strengths:</w:t>
      </w:r>
    </w:p>
    <w:p w:rsidR="00267EA8" w:rsidRPr="00FC423E" w:rsidRDefault="00267EA8" w:rsidP="00267EA8">
      <w:pPr>
        <w:pStyle w:val="BodyText"/>
      </w:pPr>
      <w:r w:rsidRPr="00B51EF7">
        <w:rPr>
          <w:rStyle w:val="Heading4Char"/>
        </w:rPr>
        <w:t>Strength 1:</w:t>
      </w:r>
      <w:r w:rsidRPr="00B51EF7">
        <w:t xml:space="preserve">  </w:t>
      </w:r>
      <w:r w:rsidR="00FC423E" w:rsidRPr="00FC423E">
        <w:t xml:space="preserve">The three MHOACs worked together to complete the Situation Report form and submit it to the Region IV RDMHS. </w:t>
      </w:r>
    </w:p>
    <w:p w:rsidR="00267EA8" w:rsidRPr="00B51EF7" w:rsidRDefault="00267EA8" w:rsidP="00267EA8">
      <w:pPr>
        <w:pStyle w:val="BodyText"/>
      </w:pPr>
      <w:r w:rsidRPr="00FC423E">
        <w:rPr>
          <w:rStyle w:val="Heading4Char"/>
        </w:rPr>
        <w:lastRenderedPageBreak/>
        <w:t>Strength 2:</w:t>
      </w:r>
      <w:r w:rsidRPr="00FC423E">
        <w:t xml:space="preserve">  </w:t>
      </w:r>
      <w:r w:rsidR="00FC423E" w:rsidRPr="00FC423E">
        <w:t xml:space="preserve">The new Region IV RDMHS was able to practice receiving a Sit Rep. </w:t>
      </w:r>
    </w:p>
    <w:p w:rsidR="00267EA8" w:rsidRPr="00B51EF7" w:rsidRDefault="00267EA8" w:rsidP="00267EA8">
      <w:pPr>
        <w:pStyle w:val="Heading3"/>
      </w:pPr>
      <w:r w:rsidRPr="00B51EF7">
        <w:t>Areas for Improvement</w:t>
      </w:r>
    </w:p>
    <w:p w:rsidR="00267EA8" w:rsidRPr="00B51EF7" w:rsidRDefault="00267EA8" w:rsidP="00267EA8">
      <w:pPr>
        <w:pStyle w:val="BodyText"/>
      </w:pPr>
      <w:r w:rsidRPr="00B51EF7">
        <w:t>The following areas require improvement to achieve the full capability level:</w:t>
      </w:r>
    </w:p>
    <w:p w:rsidR="00267EA8" w:rsidRPr="00B51EF7" w:rsidRDefault="00267EA8" w:rsidP="00267EA8">
      <w:pPr>
        <w:pStyle w:val="BodyText"/>
      </w:pPr>
      <w:r w:rsidRPr="00B51EF7">
        <w:rPr>
          <w:rStyle w:val="Heading4Char"/>
        </w:rPr>
        <w:t>Area for Improvement 1:</w:t>
      </w:r>
      <w:r w:rsidRPr="00B51EF7">
        <w:t xml:space="preserve">  </w:t>
      </w:r>
      <w:r w:rsidR="00FC423E" w:rsidRPr="00FC423E">
        <w:t>none</w:t>
      </w:r>
    </w:p>
    <w:p w:rsidR="00267EA8" w:rsidRPr="00B51EF7" w:rsidRDefault="00267EA8" w:rsidP="00707C30">
      <w:pPr>
        <w:pStyle w:val="BodyText"/>
        <w:sectPr w:rsidR="00267EA8" w:rsidRPr="00B51EF7" w:rsidSect="00707C30">
          <w:headerReference w:type="even" r:id="rId21"/>
          <w:footerReference w:type="default" r:id="rId22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:rsidR="00707C30" w:rsidRPr="00B51EF7" w:rsidRDefault="00707C30" w:rsidP="00707C30">
      <w:pPr>
        <w:pStyle w:val="Heading1"/>
      </w:pPr>
      <w:r w:rsidRPr="00B51EF7">
        <w:lastRenderedPageBreak/>
        <w:t>Appendix A:  Improvement Plan</w:t>
      </w:r>
    </w:p>
    <w:p w:rsidR="00707C30" w:rsidRPr="00B51EF7" w:rsidRDefault="00707C30" w:rsidP="00707C30">
      <w:pPr>
        <w:pStyle w:val="BodyText"/>
      </w:pPr>
      <w:r w:rsidRPr="00B02E80">
        <w:t xml:space="preserve">This IP has been developed specifically for </w:t>
      </w:r>
      <w:r w:rsidR="00B02E80" w:rsidRPr="00B02E80">
        <w:t>the Tuolumne County Health Care &amp; Safety Coalition</w:t>
      </w:r>
      <w:r w:rsidRPr="00B02E80">
        <w:t xml:space="preserve"> </w:t>
      </w:r>
      <w:proofErr w:type="gramStart"/>
      <w:r w:rsidRPr="00B02E80">
        <w:t>as a result of</w:t>
      </w:r>
      <w:proofErr w:type="gramEnd"/>
      <w:r w:rsidRPr="00B02E80">
        <w:t xml:space="preserve"> </w:t>
      </w:r>
      <w:r w:rsidR="00B02E80" w:rsidRPr="00B02E80">
        <w:t>the Tuolumne County HCSC Information Sharing Exercise</w:t>
      </w:r>
      <w:r w:rsidRPr="00B02E80">
        <w:t xml:space="preserve"> conducted on </w:t>
      </w:r>
      <w:r w:rsidR="00B02E80" w:rsidRPr="00B02E80">
        <w:t>December 17, 2019</w:t>
      </w:r>
    </w:p>
    <w:tbl>
      <w:tblPr>
        <w:tblpPr w:leftFromText="180" w:rightFromText="180" w:vertAnchor="text" w:horzAnchor="margin" w:tblpY="361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7"/>
        <w:gridCol w:w="2106"/>
        <w:gridCol w:w="2075"/>
        <w:gridCol w:w="1164"/>
        <w:gridCol w:w="1679"/>
        <w:gridCol w:w="1687"/>
        <w:gridCol w:w="1449"/>
        <w:gridCol w:w="1410"/>
      </w:tblGrid>
      <w:tr w:rsidR="00F267C1" w:rsidRPr="00B51EF7" w:rsidTr="00F971E5">
        <w:trPr>
          <w:trHeight w:val="708"/>
          <w:tblHeader/>
        </w:trPr>
        <w:tc>
          <w:tcPr>
            <w:tcW w:w="1217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Core Capability</w:t>
            </w:r>
          </w:p>
        </w:tc>
        <w:tc>
          <w:tcPr>
            <w:tcW w:w="2106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613A96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Issue/</w:t>
            </w:r>
            <w:r w:rsidR="00707C30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Area for Improvement</w:t>
            </w:r>
          </w:p>
        </w:tc>
        <w:tc>
          <w:tcPr>
            <w:tcW w:w="2075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1164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Capability Element</w:t>
            </w:r>
            <w:r w:rsidR="00451D3D">
              <w:rPr>
                <w:rStyle w:val="FootnoteReference"/>
                <w:rFonts w:ascii="Arial" w:hAnsi="Arial" w:cs="Arial"/>
                <w:b/>
                <w:color w:val="FFFFFF"/>
                <w:sz w:val="20"/>
                <w:szCs w:val="20"/>
              </w:rPr>
              <w:footnoteReference w:id="1"/>
            </w:r>
          </w:p>
        </w:tc>
        <w:tc>
          <w:tcPr>
            <w:tcW w:w="1679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Primary Responsible </w:t>
            </w:r>
            <w:r w:rsidR="00F267C1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</w:t>
            </w:r>
          </w:p>
        </w:tc>
        <w:tc>
          <w:tcPr>
            <w:tcW w:w="168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 POC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F971E5" w:rsidRPr="00B51EF7" w:rsidTr="00F971E5">
        <w:trPr>
          <w:trHeight w:val="165"/>
        </w:trPr>
        <w:tc>
          <w:tcPr>
            <w:tcW w:w="1217" w:type="dxa"/>
            <w:vMerge w:val="restart"/>
            <w:tcBorders>
              <w:left w:val="single" w:sz="4" w:space="0" w:color="000080"/>
            </w:tcBorders>
          </w:tcPr>
          <w:p w:rsidR="00F971E5" w:rsidRDefault="00F971E5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>Core Capabilit</w:t>
            </w:r>
            <w:r>
              <w:rPr>
                <w:rFonts w:ascii="Arial" w:hAnsi="Arial" w:cs="Arial"/>
                <w:sz w:val="20"/>
                <w:szCs w:val="20"/>
              </w:rPr>
              <w:t>y: Information Sharing</w:t>
            </w:r>
          </w:p>
        </w:tc>
        <w:tc>
          <w:tcPr>
            <w:tcW w:w="2106" w:type="dxa"/>
          </w:tcPr>
          <w:p w:rsidR="00F971E5" w:rsidRPr="005926CC" w:rsidRDefault="00F971E5" w:rsidP="00F971E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5926CC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5926CC">
              <w:rPr>
                <w:rFonts w:ascii="Arial" w:hAnsi="Arial" w:cs="Arial"/>
                <w:sz w:val="20"/>
                <w:szCs w:val="20"/>
              </w:rPr>
              <w:t>Only 38 HCSC partners were enrolled in CAHAN, so many key partners did not receive the message.</w:t>
            </w:r>
          </w:p>
        </w:tc>
        <w:tc>
          <w:tcPr>
            <w:tcW w:w="2075" w:type="dxa"/>
            <w:vAlign w:val="center"/>
          </w:tcPr>
          <w:p w:rsidR="00F971E5" w:rsidRDefault="004230D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230D5">
              <w:rPr>
                <w:rFonts w:ascii="Arial" w:hAnsi="Arial" w:cs="Arial"/>
                <w:sz w:val="20"/>
                <w:szCs w:val="20"/>
              </w:rPr>
              <w:t>Conduct outreach to HCSC to increase enrollment in CAHAN (via email, at HCSC meetings, etc.)</w:t>
            </w:r>
            <w:r w:rsidR="00F971E5" w:rsidRPr="004230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F971E5" w:rsidRPr="00115002" w:rsidRDefault="00115002" w:rsidP="001150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5002">
              <w:rPr>
                <w:rFonts w:ascii="Arial" w:hAnsi="Arial" w:cs="Arial"/>
                <w:bCs/>
                <w:sz w:val="20"/>
                <w:szCs w:val="20"/>
              </w:rPr>
              <w:t>Planning</w:t>
            </w:r>
          </w:p>
        </w:tc>
        <w:tc>
          <w:tcPr>
            <w:tcW w:w="1679" w:type="dxa"/>
          </w:tcPr>
          <w:p w:rsidR="00F971E5" w:rsidRDefault="005A6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Tuolumne County Public Health</w:t>
            </w:r>
          </w:p>
        </w:tc>
        <w:tc>
          <w:tcPr>
            <w:tcW w:w="1687" w:type="dxa"/>
          </w:tcPr>
          <w:p w:rsidR="00F971E5" w:rsidRDefault="009054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PHEP Coordinator &amp; HPP Coordinator</w:t>
            </w:r>
          </w:p>
        </w:tc>
        <w:tc>
          <w:tcPr>
            <w:tcW w:w="1449" w:type="dxa"/>
          </w:tcPr>
          <w:p w:rsidR="00F971E5" w:rsidRDefault="00EA65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January 9, 2020</w:t>
            </w:r>
          </w:p>
        </w:tc>
        <w:tc>
          <w:tcPr>
            <w:tcW w:w="1410" w:type="dxa"/>
            <w:tcBorders>
              <w:right w:val="single" w:sz="4" w:space="0" w:color="000080"/>
            </w:tcBorders>
          </w:tcPr>
          <w:p w:rsidR="00F971E5" w:rsidRDefault="001C02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F971E5" w:rsidRPr="00B51EF7" w:rsidTr="00F971E5">
        <w:trPr>
          <w:trHeight w:val="165"/>
        </w:trPr>
        <w:tc>
          <w:tcPr>
            <w:tcW w:w="1217" w:type="dxa"/>
            <w:vMerge/>
            <w:tcBorders>
              <w:left w:val="single" w:sz="4" w:space="0" w:color="000080"/>
            </w:tcBorders>
          </w:tcPr>
          <w:p w:rsidR="00F971E5" w:rsidRDefault="00F971E5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</w:tcPr>
          <w:p w:rsidR="00F971E5" w:rsidRPr="005926CC" w:rsidRDefault="00F971E5" w:rsidP="00F971E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5926CC"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Pr="005926CC">
              <w:rPr>
                <w:rFonts w:ascii="Arial" w:hAnsi="Arial" w:cs="Arial"/>
                <w:sz w:val="20"/>
                <w:szCs w:val="20"/>
              </w:rPr>
              <w:t xml:space="preserve">The CAHAN response rate was 73.6%, which </w:t>
            </w:r>
            <w:r w:rsidR="0077226A" w:rsidRPr="005926CC">
              <w:rPr>
                <w:rFonts w:ascii="Arial" w:hAnsi="Arial" w:cs="Arial"/>
                <w:sz w:val="20"/>
                <w:szCs w:val="20"/>
              </w:rPr>
              <w:t>was</w:t>
            </w:r>
            <w:r w:rsidRPr="005926CC">
              <w:rPr>
                <w:rFonts w:ascii="Arial" w:hAnsi="Arial" w:cs="Arial"/>
                <w:sz w:val="20"/>
                <w:szCs w:val="20"/>
              </w:rPr>
              <w:t xml:space="preserve"> partially due to some partners only having one or two communication methods available.</w:t>
            </w:r>
          </w:p>
        </w:tc>
        <w:tc>
          <w:tcPr>
            <w:tcW w:w="2075" w:type="dxa"/>
            <w:vAlign w:val="center"/>
          </w:tcPr>
          <w:p w:rsidR="00F971E5" w:rsidRDefault="003614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the </w:t>
            </w:r>
            <w:r w:rsidR="008E1648" w:rsidRPr="008E1648">
              <w:rPr>
                <w:rFonts w:ascii="Arial" w:hAnsi="Arial" w:cs="Arial"/>
                <w:sz w:val="20"/>
                <w:szCs w:val="20"/>
              </w:rPr>
              <w:t>HCSC members already enrolled in CAHAN who did not respond to the exercise message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ask them to resubmit the CAHAN enrollment form. </w:t>
            </w:r>
          </w:p>
        </w:tc>
        <w:tc>
          <w:tcPr>
            <w:tcW w:w="1164" w:type="dxa"/>
          </w:tcPr>
          <w:p w:rsidR="00F971E5" w:rsidRDefault="003614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</w:t>
            </w:r>
          </w:p>
        </w:tc>
        <w:tc>
          <w:tcPr>
            <w:tcW w:w="1679" w:type="dxa"/>
          </w:tcPr>
          <w:p w:rsidR="00F971E5" w:rsidRDefault="009054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Tuolumne County Public Health</w:t>
            </w:r>
          </w:p>
        </w:tc>
        <w:tc>
          <w:tcPr>
            <w:tcW w:w="1687" w:type="dxa"/>
          </w:tcPr>
          <w:p w:rsidR="00F971E5" w:rsidRDefault="009054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PHEP Coordinator &amp; HPP Coordinator</w:t>
            </w:r>
          </w:p>
        </w:tc>
        <w:tc>
          <w:tcPr>
            <w:tcW w:w="1449" w:type="dxa"/>
          </w:tcPr>
          <w:p w:rsidR="00F971E5" w:rsidRDefault="00EA65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January 9, 2020</w:t>
            </w:r>
          </w:p>
        </w:tc>
        <w:tc>
          <w:tcPr>
            <w:tcW w:w="1410" w:type="dxa"/>
            <w:tcBorders>
              <w:right w:val="single" w:sz="4" w:space="0" w:color="000080"/>
            </w:tcBorders>
          </w:tcPr>
          <w:p w:rsidR="00F971E5" w:rsidRDefault="001C02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28, 2020</w:t>
            </w:r>
          </w:p>
        </w:tc>
      </w:tr>
      <w:tr w:rsidR="00F971E5" w:rsidRPr="00B51EF7" w:rsidTr="00182E97">
        <w:trPr>
          <w:trHeight w:val="165"/>
        </w:trPr>
        <w:tc>
          <w:tcPr>
            <w:tcW w:w="1217" w:type="dxa"/>
            <w:vMerge/>
            <w:tcBorders>
              <w:left w:val="single" w:sz="4" w:space="0" w:color="000080"/>
            </w:tcBorders>
          </w:tcPr>
          <w:p w:rsidR="00F971E5" w:rsidRDefault="00F971E5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</w:tcPr>
          <w:p w:rsidR="00F971E5" w:rsidRPr="005926CC" w:rsidRDefault="00F971E5" w:rsidP="00F971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926CC">
              <w:rPr>
                <w:rFonts w:ascii="Arial" w:hAnsi="Arial" w:cs="Arial"/>
                <w:bCs/>
                <w:sz w:val="20"/>
                <w:szCs w:val="22"/>
              </w:rPr>
              <w:t xml:space="preserve">3.  </w:t>
            </w:r>
            <w:r w:rsidRPr="005926CC">
              <w:rPr>
                <w:rFonts w:ascii="Arial" w:hAnsi="Arial" w:cs="Arial"/>
                <w:sz w:val="20"/>
                <w:szCs w:val="22"/>
              </w:rPr>
              <w:t>HCSC partner participation in the exercise was low.</w:t>
            </w:r>
          </w:p>
        </w:tc>
        <w:tc>
          <w:tcPr>
            <w:tcW w:w="2075" w:type="dxa"/>
            <w:vAlign w:val="center"/>
          </w:tcPr>
          <w:p w:rsidR="00F971E5" w:rsidRPr="00F10013" w:rsidRDefault="00A7308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A7308B">
              <w:rPr>
                <w:rFonts w:ascii="Arial" w:hAnsi="Arial" w:cs="Arial"/>
                <w:sz w:val="20"/>
                <w:szCs w:val="20"/>
              </w:rPr>
              <w:t>During After Action Meeting (part of HCSC meeting), ask partners for feedback regarding participation, specifically what would help facilitate increased participation.</w:t>
            </w:r>
          </w:p>
        </w:tc>
        <w:tc>
          <w:tcPr>
            <w:tcW w:w="1164" w:type="dxa"/>
          </w:tcPr>
          <w:p w:rsidR="00F971E5" w:rsidRDefault="004230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</w:t>
            </w:r>
          </w:p>
        </w:tc>
        <w:tc>
          <w:tcPr>
            <w:tcW w:w="1679" w:type="dxa"/>
          </w:tcPr>
          <w:p w:rsidR="00F971E5" w:rsidRDefault="00D205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Tuolumne County Public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all HCSC members</w:t>
            </w:r>
          </w:p>
        </w:tc>
        <w:tc>
          <w:tcPr>
            <w:tcW w:w="1687" w:type="dxa"/>
          </w:tcPr>
          <w:p w:rsidR="00F971E5" w:rsidRDefault="00D205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HPP Coordinator</w:t>
            </w:r>
          </w:p>
        </w:tc>
        <w:tc>
          <w:tcPr>
            <w:tcW w:w="1449" w:type="dxa"/>
          </w:tcPr>
          <w:p w:rsidR="00F971E5" w:rsidRDefault="00D205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January 9, 2020</w:t>
            </w:r>
          </w:p>
        </w:tc>
        <w:tc>
          <w:tcPr>
            <w:tcW w:w="1410" w:type="dxa"/>
            <w:tcBorders>
              <w:right w:val="single" w:sz="4" w:space="0" w:color="000080"/>
            </w:tcBorders>
          </w:tcPr>
          <w:p w:rsidR="00F971E5" w:rsidRDefault="00722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9, 2020</w:t>
            </w:r>
          </w:p>
        </w:tc>
      </w:tr>
      <w:tr w:rsidR="00182E97" w:rsidRPr="00B51EF7" w:rsidTr="00F971E5">
        <w:trPr>
          <w:trHeight w:val="165"/>
        </w:trPr>
        <w:tc>
          <w:tcPr>
            <w:tcW w:w="1217" w:type="dxa"/>
            <w:tcBorders>
              <w:left w:val="single" w:sz="4" w:space="0" w:color="000080"/>
              <w:bottom w:val="single" w:sz="4" w:space="0" w:color="000080"/>
            </w:tcBorders>
          </w:tcPr>
          <w:p w:rsidR="00182E97" w:rsidRDefault="00182E97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tcBorders>
              <w:bottom w:val="single" w:sz="4" w:space="0" w:color="000080"/>
            </w:tcBorders>
          </w:tcPr>
          <w:p w:rsidR="00182E97" w:rsidRPr="005926CC" w:rsidRDefault="005926CC" w:rsidP="005926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926CC">
              <w:rPr>
                <w:rFonts w:ascii="Arial" w:hAnsi="Arial" w:cs="Arial"/>
                <w:sz w:val="20"/>
              </w:rPr>
              <w:t>4.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926CC">
              <w:rPr>
                <w:rFonts w:ascii="Arial" w:hAnsi="Arial" w:cs="Arial"/>
                <w:sz w:val="20"/>
              </w:rPr>
              <w:t>Tuolumne County Behavioral Health reported that their radio transmission was unclear and that some of their radios were malfunctioning.</w:t>
            </w:r>
          </w:p>
        </w:tc>
        <w:tc>
          <w:tcPr>
            <w:tcW w:w="2075" w:type="dxa"/>
            <w:tcBorders>
              <w:bottom w:val="single" w:sz="4" w:space="0" w:color="000080"/>
            </w:tcBorders>
            <w:vAlign w:val="center"/>
          </w:tcPr>
          <w:p w:rsidR="00182E97" w:rsidRPr="00A7308B" w:rsidRDefault="007916DA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County Radio Communications Analyst regarding </w:t>
            </w:r>
            <w:r w:rsidR="00D84C0F">
              <w:rPr>
                <w:rFonts w:ascii="Arial" w:hAnsi="Arial" w:cs="Arial"/>
                <w:sz w:val="20"/>
                <w:szCs w:val="20"/>
              </w:rPr>
              <w:t>malfunctioning radios.</w:t>
            </w:r>
          </w:p>
        </w:tc>
        <w:tc>
          <w:tcPr>
            <w:tcW w:w="1164" w:type="dxa"/>
            <w:tcBorders>
              <w:bottom w:val="single" w:sz="4" w:space="0" w:color="000080"/>
            </w:tcBorders>
          </w:tcPr>
          <w:p w:rsidR="00182E97" w:rsidRDefault="00091E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</w:t>
            </w:r>
          </w:p>
        </w:tc>
        <w:tc>
          <w:tcPr>
            <w:tcW w:w="1679" w:type="dxa"/>
            <w:tcBorders>
              <w:bottom w:val="single" w:sz="4" w:space="0" w:color="000080"/>
            </w:tcBorders>
          </w:tcPr>
          <w:p w:rsidR="00182E97" w:rsidRDefault="00091E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Tuolumne County Behavioral Health</w:t>
            </w:r>
          </w:p>
        </w:tc>
        <w:tc>
          <w:tcPr>
            <w:tcW w:w="1687" w:type="dxa"/>
            <w:tcBorders>
              <w:bottom w:val="single" w:sz="4" w:space="0" w:color="000080"/>
            </w:tcBorders>
          </w:tcPr>
          <w:p w:rsidR="00182E97" w:rsidRDefault="00091E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Administrative Assistant/ EP Coordinator </w:t>
            </w:r>
          </w:p>
        </w:tc>
        <w:tc>
          <w:tcPr>
            <w:tcW w:w="1449" w:type="dxa"/>
            <w:tcBorders>
              <w:bottom w:val="single" w:sz="4" w:space="0" w:color="000080"/>
            </w:tcBorders>
          </w:tcPr>
          <w:p w:rsidR="00182E97" w:rsidRDefault="00AE2C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January 9, 2020</w:t>
            </w:r>
          </w:p>
        </w:tc>
        <w:tc>
          <w:tcPr>
            <w:tcW w:w="1410" w:type="dxa"/>
            <w:tcBorders>
              <w:bottom w:val="single" w:sz="4" w:space="0" w:color="000080"/>
              <w:right w:val="single" w:sz="4" w:space="0" w:color="000080"/>
            </w:tcBorders>
          </w:tcPr>
          <w:p w:rsidR="00182E97" w:rsidRDefault="00D84C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31, 2020</w:t>
            </w:r>
          </w:p>
        </w:tc>
      </w:tr>
    </w:tbl>
    <w:p w:rsidR="00707C30" w:rsidRPr="00B51EF7" w:rsidRDefault="00707C30" w:rsidP="00707C30">
      <w:pPr>
        <w:pStyle w:val="BodyText"/>
      </w:pPr>
    </w:p>
    <w:p w:rsidR="00613A96" w:rsidRPr="00B51EF7" w:rsidRDefault="00613A96" w:rsidP="00707C30">
      <w:pPr>
        <w:pStyle w:val="BodyText"/>
        <w:sectPr w:rsidR="00613A96" w:rsidRPr="00B51EF7" w:rsidSect="002A70AA">
          <w:headerReference w:type="default" r:id="rId23"/>
          <w:footerReference w:type="default" r:id="rId24"/>
          <w:pgSz w:w="15840" w:h="12240" w:orient="landscape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:rsidR="002A70AA" w:rsidRPr="00B51EF7" w:rsidRDefault="002A70AA" w:rsidP="002A70AA">
      <w:pPr>
        <w:pStyle w:val="Heading1"/>
      </w:pPr>
      <w:r w:rsidRPr="00B51EF7">
        <w:lastRenderedPageBreak/>
        <w:t>Appendix B:  Exercise Participants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2A70AA" w:rsidRPr="00B51EF7" w:rsidTr="00850AB2">
        <w:trPr>
          <w:jc w:val="center"/>
        </w:trPr>
        <w:tc>
          <w:tcPr>
            <w:tcW w:w="9330" w:type="dxa"/>
            <w:tcBorders>
              <w:top w:val="single" w:sz="12" w:space="0" w:color="000080"/>
              <w:bottom w:val="single" w:sz="4" w:space="0" w:color="auto"/>
            </w:tcBorders>
            <w:shd w:val="clear" w:color="auto" w:fill="000080"/>
          </w:tcPr>
          <w:p w:rsidR="002A70AA" w:rsidRPr="00B51EF7" w:rsidRDefault="002A70AA" w:rsidP="001065B6">
            <w:pPr>
              <w:pStyle w:val="TableHead"/>
            </w:pPr>
            <w:r w:rsidRPr="00B51EF7">
              <w:t>Participating Organizations</w:t>
            </w:r>
          </w:p>
        </w:tc>
      </w:tr>
      <w:tr w:rsidR="00E841A4" w:rsidRPr="00B51EF7" w:rsidTr="00850AB2">
        <w:trPr>
          <w:jc w:val="center"/>
        </w:trPr>
        <w:tc>
          <w:tcPr>
            <w:tcW w:w="9330" w:type="dxa"/>
          </w:tcPr>
          <w:p w:rsidR="00E841A4" w:rsidRDefault="00E841A4" w:rsidP="001065B6">
            <w:pPr>
              <w:pStyle w:val="Tabletext"/>
            </w:pPr>
            <w:r>
              <w:t>Adventist Health Rapid Care</w:t>
            </w:r>
          </w:p>
        </w:tc>
      </w:tr>
      <w:tr w:rsidR="002A70AA" w:rsidRPr="00B51EF7" w:rsidTr="00850AB2">
        <w:trPr>
          <w:jc w:val="center"/>
        </w:trPr>
        <w:tc>
          <w:tcPr>
            <w:tcW w:w="9330" w:type="dxa"/>
          </w:tcPr>
          <w:p w:rsidR="002A70AA" w:rsidRPr="00B51EF7" w:rsidRDefault="00E841A4" w:rsidP="001065B6">
            <w:pPr>
              <w:pStyle w:val="Tabletext"/>
            </w:pPr>
            <w:r>
              <w:t>American Red Cross</w:t>
            </w:r>
          </w:p>
        </w:tc>
      </w:tr>
      <w:tr w:rsidR="002A70AA" w:rsidRPr="00B51EF7" w:rsidTr="00850AB2">
        <w:trPr>
          <w:jc w:val="center"/>
        </w:trPr>
        <w:tc>
          <w:tcPr>
            <w:tcW w:w="9330" w:type="dxa"/>
          </w:tcPr>
          <w:p w:rsidR="002A70AA" w:rsidRPr="00B51EF7" w:rsidRDefault="00E841A4" w:rsidP="001065B6">
            <w:pPr>
              <w:pStyle w:val="Tabletext"/>
            </w:pPr>
            <w:r>
              <w:t>Calaveras County Public Health</w:t>
            </w:r>
          </w:p>
        </w:tc>
      </w:tr>
      <w:tr w:rsidR="002A70AA" w:rsidRPr="00B51EF7" w:rsidTr="00850AB2">
        <w:trPr>
          <w:jc w:val="center"/>
        </w:trPr>
        <w:tc>
          <w:tcPr>
            <w:tcW w:w="9330" w:type="dxa"/>
          </w:tcPr>
          <w:p w:rsidR="002A70AA" w:rsidRPr="00B51EF7" w:rsidRDefault="00E841A4" w:rsidP="001065B6">
            <w:pPr>
              <w:pStyle w:val="Tabletext"/>
            </w:pPr>
            <w:r>
              <w:t>Tuolumne County Behavioral Health</w:t>
            </w:r>
          </w:p>
        </w:tc>
      </w:tr>
      <w:tr w:rsidR="002A70AA" w:rsidRPr="00B51EF7" w:rsidTr="00850AB2">
        <w:trPr>
          <w:jc w:val="center"/>
        </w:trPr>
        <w:tc>
          <w:tcPr>
            <w:tcW w:w="9330" w:type="dxa"/>
          </w:tcPr>
          <w:p w:rsidR="002A70AA" w:rsidRPr="00B51EF7" w:rsidRDefault="00E841A4" w:rsidP="001065B6">
            <w:pPr>
              <w:pStyle w:val="Tabletext"/>
            </w:pPr>
            <w:r>
              <w:t>Tuolumne County EMS Agency</w:t>
            </w:r>
          </w:p>
        </w:tc>
      </w:tr>
      <w:tr w:rsidR="002A70AA" w:rsidRPr="00B51EF7" w:rsidTr="00850AB2">
        <w:trPr>
          <w:jc w:val="center"/>
        </w:trPr>
        <w:tc>
          <w:tcPr>
            <w:tcW w:w="9330" w:type="dxa"/>
          </w:tcPr>
          <w:p w:rsidR="002A70AA" w:rsidRPr="00B51EF7" w:rsidRDefault="00E841A4" w:rsidP="001065B6">
            <w:pPr>
              <w:pStyle w:val="Tabletext"/>
            </w:pPr>
            <w:r>
              <w:t>Tuolumne County Public Health</w:t>
            </w:r>
          </w:p>
        </w:tc>
      </w:tr>
      <w:tr w:rsidR="002A70AA" w:rsidRPr="00B51EF7" w:rsidTr="00850AB2">
        <w:trPr>
          <w:jc w:val="center"/>
        </w:trPr>
        <w:tc>
          <w:tcPr>
            <w:tcW w:w="9330" w:type="dxa"/>
          </w:tcPr>
          <w:p w:rsidR="002A70AA" w:rsidRPr="00B51EF7" w:rsidRDefault="00E841A4" w:rsidP="001065B6">
            <w:pPr>
              <w:pStyle w:val="Tabletext"/>
            </w:pPr>
            <w:r>
              <w:t>Tuolumne Me Wuk Indian Health Center</w:t>
            </w:r>
          </w:p>
        </w:tc>
      </w:tr>
      <w:tr w:rsidR="002A70AA" w:rsidRPr="00B51EF7" w:rsidTr="00850AB2">
        <w:trPr>
          <w:jc w:val="center"/>
        </w:trPr>
        <w:tc>
          <w:tcPr>
            <w:tcW w:w="9330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850AB2">
        <w:trPr>
          <w:jc w:val="center"/>
        </w:trPr>
        <w:tc>
          <w:tcPr>
            <w:tcW w:w="9330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850AB2">
        <w:trPr>
          <w:jc w:val="center"/>
        </w:trPr>
        <w:tc>
          <w:tcPr>
            <w:tcW w:w="9330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850AB2">
        <w:trPr>
          <w:jc w:val="center"/>
        </w:trPr>
        <w:tc>
          <w:tcPr>
            <w:tcW w:w="9330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850AB2">
        <w:trPr>
          <w:jc w:val="center"/>
        </w:trPr>
        <w:tc>
          <w:tcPr>
            <w:tcW w:w="9330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850AB2">
        <w:trPr>
          <w:jc w:val="center"/>
        </w:trPr>
        <w:tc>
          <w:tcPr>
            <w:tcW w:w="9330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850AB2">
        <w:trPr>
          <w:jc w:val="center"/>
        </w:trPr>
        <w:tc>
          <w:tcPr>
            <w:tcW w:w="9330" w:type="dxa"/>
          </w:tcPr>
          <w:p w:rsidR="002A70AA" w:rsidRPr="00B51EF7" w:rsidRDefault="002A70AA" w:rsidP="001065B6">
            <w:pPr>
              <w:pStyle w:val="Tabletext"/>
            </w:pPr>
          </w:p>
        </w:tc>
      </w:tr>
    </w:tbl>
    <w:p w:rsidR="002A70AA" w:rsidRPr="00B51EF7" w:rsidRDefault="002A70AA" w:rsidP="00707C30">
      <w:pPr>
        <w:pStyle w:val="BodyText"/>
      </w:pPr>
    </w:p>
    <w:sectPr w:rsidR="002A70AA" w:rsidRPr="00B51EF7" w:rsidSect="002A70AA">
      <w:headerReference w:type="default" r:id="rId25"/>
      <w:footerReference w:type="default" r:id="rId26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0C3" w:rsidRDefault="001200C3" w:rsidP="00D31366">
      <w:r>
        <w:separator/>
      </w:r>
    </w:p>
  </w:endnote>
  <w:endnote w:type="continuationSeparator" w:id="0">
    <w:p w:rsidR="001200C3" w:rsidRDefault="001200C3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B4F" w:rsidRDefault="009A4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7DF" w:rsidRDefault="004F37DF" w:rsidP="004F37DF">
    <w:pPr>
      <w:pStyle w:val="Foo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</w:p>
  <w:p w:rsidR="004F37DF" w:rsidRDefault="004F37DF">
    <w:pPr>
      <w:pStyle w:val="Footer"/>
    </w:pPr>
    <w:r>
      <w:rPr>
        <w:rFonts w:ascii="Arial" w:hAnsi="Arial" w:cs="Arial"/>
        <w:color w:val="000080"/>
        <w:sz w:val="18"/>
        <w:szCs w:val="18"/>
      </w:rPr>
      <w:t>HSEEP-IP01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B4F" w:rsidRDefault="009A4B4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5B6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Exercise Overview</w:t>
    </w:r>
    <w:r w:rsidRPr="003536F2"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1F10B6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="00417197" w:rsidRPr="00417197">
      <w:rPr>
        <w:rStyle w:val="PageNumber"/>
      </w:rPr>
      <w:t>Tuolumne County Public Health</w:t>
    </w:r>
  </w:p>
  <w:p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</w:p>
  <w:p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5B6" w:rsidRPr="003536F2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Analysis of Core Capabilities</w:t>
    </w:r>
    <w:r w:rsidRPr="003536F2">
      <w:rPr>
        <w:b w:val="0"/>
      </w:rPr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1F10B6">
      <w:rPr>
        <w:rStyle w:val="PageNumber"/>
        <w:b w:val="0"/>
        <w:noProof/>
      </w:rPr>
      <w:t>2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="00417197" w:rsidRPr="00417197">
      <w:rPr>
        <w:rStyle w:val="PageNumber"/>
      </w:rPr>
      <w:t>Tuolumne County Public Health</w:t>
    </w:r>
  </w:p>
  <w:p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</w:p>
  <w:p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5B6" w:rsidRPr="003536F2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</w:rPr>
    </w:pPr>
    <w:r>
      <w:t>Appendix A:  Improvement Plan</w:t>
    </w:r>
    <w:r w:rsidRPr="003536F2">
      <w:rPr>
        <w:b w:val="0"/>
      </w:rPr>
      <w:tab/>
    </w:r>
    <w:r>
      <w:rPr>
        <w:b w:val="0"/>
      </w:rPr>
      <w:t>A-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1F10B6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="00257A0F" w:rsidRPr="00257A0F">
      <w:rPr>
        <w:rStyle w:val="PageNumber"/>
      </w:rPr>
      <w:t>Tuolumne County Public Health</w:t>
    </w:r>
  </w:p>
  <w:p w:rsidR="001065B6" w:rsidRPr="005A60DA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</w:p>
  <w:p w:rsidR="007D2F33" w:rsidRDefault="001065B6">
    <w:pPr>
      <w:tabs>
        <w:tab w:val="center" w:pos="648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5B6" w:rsidRPr="003536F2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</w:rPr>
    </w:pPr>
    <w:r>
      <w:t>Appendix B:  Exercise Participants</w:t>
    </w:r>
    <w:r w:rsidRPr="003536F2">
      <w:rPr>
        <w:b w:val="0"/>
      </w:rPr>
      <w:tab/>
    </w:r>
    <w:r>
      <w:rPr>
        <w:b w:val="0"/>
      </w:rPr>
      <w:t>B-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1F10B6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="00257A0F">
      <w:rPr>
        <w:rStyle w:val="PageNumber"/>
        <w:b w:val="0"/>
      </w:rPr>
      <w:t xml:space="preserve">                           </w:t>
    </w:r>
    <w:r w:rsidR="00257A0F" w:rsidRPr="00257A0F">
      <w:rPr>
        <w:rStyle w:val="PageNumber"/>
      </w:rPr>
      <w:t>Tuolumne County Public Health</w:t>
    </w:r>
  </w:p>
  <w:p w:rsidR="001065B6" w:rsidRPr="005A60DA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</w:p>
  <w:p w:rsidR="007D2F33" w:rsidRDefault="001065B6">
    <w:pPr>
      <w:tabs>
        <w:tab w:val="center" w:pos="4680"/>
        <w:tab w:val="center" w:pos="6480"/>
        <w:tab w:val="right" w:pos="936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0C3" w:rsidRDefault="001200C3" w:rsidP="00D31366">
      <w:r>
        <w:separator/>
      </w:r>
    </w:p>
  </w:footnote>
  <w:footnote w:type="continuationSeparator" w:id="0">
    <w:p w:rsidR="001200C3" w:rsidRDefault="001200C3" w:rsidP="00D31366">
      <w:r>
        <w:continuationSeparator/>
      </w:r>
    </w:p>
  </w:footnote>
  <w:footnote w:id="1">
    <w:p w:rsidR="00451D3D" w:rsidRDefault="00451D3D">
      <w:pPr>
        <w:pStyle w:val="FootnoteText"/>
      </w:pPr>
      <w:r>
        <w:rPr>
          <w:rStyle w:val="FootnoteReference"/>
        </w:rPr>
        <w:footnoteRef/>
      </w:r>
      <w:r>
        <w:t xml:space="preserve"> Capability Elements are: Planning, Organization, Equipment, Training, or Exercise.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B4F" w:rsidRDefault="009A4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370438"/>
      <w:docPartObj>
        <w:docPartGallery w:val="Watermarks"/>
        <w:docPartUnique/>
      </w:docPartObj>
    </w:sdtPr>
    <w:sdtContent>
      <w:p w:rsidR="009A4B4F" w:rsidRDefault="00B97F4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38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B4F" w:rsidRDefault="009A4B4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5B6" w:rsidRPr="00417197" w:rsidRDefault="001065B6" w:rsidP="006746F8">
    <w:pPr>
      <w:pStyle w:val="Header"/>
    </w:pPr>
    <w:r>
      <w:t>After-Action Report/</w:t>
    </w:r>
    <w:r w:rsidRPr="007B1B03">
      <w:tab/>
    </w:r>
    <w:r w:rsidR="00417197" w:rsidRPr="00417197">
      <w:t>Tuolumne County HCSC</w:t>
    </w:r>
  </w:p>
  <w:p w:rsidR="001065B6" w:rsidRDefault="001065B6">
    <w:pPr>
      <w:pStyle w:val="Header"/>
      <w:pBdr>
        <w:bottom w:val="single" w:sz="4" w:space="1" w:color="000080"/>
      </w:pBdr>
      <w:spacing w:after="120"/>
    </w:pPr>
    <w:r w:rsidRPr="00417197">
      <w:rPr>
        <w:szCs w:val="12"/>
      </w:rPr>
      <w:t>Improvement Plan (AAR/IP)</w:t>
    </w:r>
    <w:r w:rsidRPr="00417197">
      <w:rPr>
        <w:szCs w:val="12"/>
      </w:rPr>
      <w:tab/>
    </w:r>
    <w:r w:rsidR="00417197" w:rsidRPr="00417197">
      <w:rPr>
        <w:szCs w:val="12"/>
      </w:rPr>
      <w:t>Information Sharing Exercise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5B6" w:rsidRDefault="001065B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5B6" w:rsidRPr="00257A0F" w:rsidRDefault="001065B6" w:rsidP="002A70AA">
    <w:pPr>
      <w:pStyle w:val="Header"/>
      <w:tabs>
        <w:tab w:val="clear" w:pos="9360"/>
        <w:tab w:val="right" w:pos="12960"/>
      </w:tabs>
    </w:pPr>
    <w:r>
      <w:t>After-Action Report/</w:t>
    </w:r>
    <w:r w:rsidRPr="007B1B03">
      <w:tab/>
    </w:r>
    <w:r w:rsidR="00257A0F" w:rsidRPr="00257A0F">
      <w:t>Tuolumne County HCSC</w:t>
    </w:r>
  </w:p>
  <w:p w:rsidR="001065B6" w:rsidRDefault="001065B6" w:rsidP="002A70AA">
    <w:pPr>
      <w:pStyle w:val="Header"/>
      <w:pBdr>
        <w:bottom w:val="single" w:sz="4" w:space="1" w:color="000080"/>
      </w:pBdr>
      <w:tabs>
        <w:tab w:val="clear" w:pos="9360"/>
        <w:tab w:val="right" w:pos="12960"/>
      </w:tabs>
      <w:spacing w:after="120"/>
    </w:pPr>
    <w:r w:rsidRPr="00257A0F">
      <w:rPr>
        <w:szCs w:val="12"/>
      </w:rPr>
      <w:t>Improvement Plan (AAR/IP)</w:t>
    </w:r>
    <w:r w:rsidRPr="00257A0F">
      <w:rPr>
        <w:szCs w:val="12"/>
      </w:rPr>
      <w:tab/>
    </w:r>
    <w:r w:rsidR="00257A0F" w:rsidRPr="00257A0F">
      <w:rPr>
        <w:szCs w:val="12"/>
      </w:rPr>
      <w:t>Information Sharing Exercise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5B6" w:rsidRPr="00257A0F" w:rsidRDefault="001065B6" w:rsidP="002A70AA">
    <w:pPr>
      <w:pStyle w:val="Header"/>
      <w:tabs>
        <w:tab w:val="right" w:pos="12960"/>
      </w:tabs>
    </w:pPr>
    <w:r>
      <w:t>After-Action Report/</w:t>
    </w:r>
    <w:r>
      <w:tab/>
    </w:r>
    <w:r w:rsidR="00257A0F" w:rsidRPr="00257A0F">
      <w:t>Tuolumne County HCSC</w:t>
    </w:r>
  </w:p>
  <w:p w:rsidR="001065B6" w:rsidRDefault="001065B6" w:rsidP="002A70AA">
    <w:pPr>
      <w:pStyle w:val="Header"/>
      <w:pBdr>
        <w:bottom w:val="single" w:sz="4" w:space="1" w:color="000080"/>
      </w:pBdr>
      <w:tabs>
        <w:tab w:val="right" w:pos="12960"/>
      </w:tabs>
      <w:spacing w:after="120"/>
    </w:pPr>
    <w:r w:rsidRPr="00257A0F">
      <w:rPr>
        <w:szCs w:val="12"/>
      </w:rPr>
      <w:t>Improvement Plan (AAR/IP)</w:t>
    </w:r>
    <w:r w:rsidRPr="00257A0F">
      <w:rPr>
        <w:szCs w:val="12"/>
      </w:rPr>
      <w:tab/>
    </w:r>
    <w:r w:rsidR="00257A0F" w:rsidRPr="00257A0F">
      <w:rPr>
        <w:szCs w:val="12"/>
      </w:rPr>
      <w:t>Information Sharing Exercise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52313"/>
    <w:multiLevelType w:val="hybridMultilevel"/>
    <w:tmpl w:val="B1CED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41DC5"/>
    <w:multiLevelType w:val="hybridMultilevel"/>
    <w:tmpl w:val="B1CED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93DDB"/>
    <w:multiLevelType w:val="hybridMultilevel"/>
    <w:tmpl w:val="B1CED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B3566"/>
    <w:multiLevelType w:val="hybridMultilevel"/>
    <w:tmpl w:val="B1CED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17"/>
  </w:num>
  <w:num w:numId="5">
    <w:abstractNumId w:val="19"/>
  </w:num>
  <w:num w:numId="6">
    <w:abstractNumId w:val="20"/>
  </w:num>
  <w:num w:numId="7">
    <w:abstractNumId w:val="11"/>
  </w:num>
  <w:num w:numId="8">
    <w:abstractNumId w:val="2"/>
  </w:num>
  <w:num w:numId="9">
    <w:abstractNumId w:val="16"/>
  </w:num>
  <w:num w:numId="10">
    <w:abstractNumId w:val="4"/>
  </w:num>
  <w:num w:numId="11">
    <w:abstractNumId w:val="18"/>
  </w:num>
  <w:num w:numId="12">
    <w:abstractNumId w:val="10"/>
  </w:num>
  <w:num w:numId="13">
    <w:abstractNumId w:val="13"/>
  </w:num>
  <w:num w:numId="14">
    <w:abstractNumId w:val="3"/>
  </w:num>
  <w:num w:numId="15">
    <w:abstractNumId w:val="12"/>
  </w:num>
  <w:num w:numId="16">
    <w:abstractNumId w:val="6"/>
  </w:num>
  <w:num w:numId="17">
    <w:abstractNumId w:val="1"/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15"/>
  </w:num>
  <w:num w:numId="32">
    <w:abstractNumId w:val="9"/>
  </w:num>
  <w:num w:numId="33">
    <w:abstractNumId w:val="5"/>
  </w:num>
  <w:num w:numId="34">
    <w:abstractNumId w:val="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66"/>
    <w:rsid w:val="00025486"/>
    <w:rsid w:val="00037C2C"/>
    <w:rsid w:val="00044E28"/>
    <w:rsid w:val="00054AB0"/>
    <w:rsid w:val="000558D2"/>
    <w:rsid w:val="0007427E"/>
    <w:rsid w:val="00091E84"/>
    <w:rsid w:val="000B108B"/>
    <w:rsid w:val="000E1A33"/>
    <w:rsid w:val="001065B6"/>
    <w:rsid w:val="001072D2"/>
    <w:rsid w:val="00115002"/>
    <w:rsid w:val="001200C3"/>
    <w:rsid w:val="001230C1"/>
    <w:rsid w:val="00125BEC"/>
    <w:rsid w:val="001358F6"/>
    <w:rsid w:val="00147EDA"/>
    <w:rsid w:val="001635FF"/>
    <w:rsid w:val="00167EF9"/>
    <w:rsid w:val="00173A85"/>
    <w:rsid w:val="00174869"/>
    <w:rsid w:val="00176933"/>
    <w:rsid w:val="00182E97"/>
    <w:rsid w:val="001909F6"/>
    <w:rsid w:val="001A1DEF"/>
    <w:rsid w:val="001A3FDF"/>
    <w:rsid w:val="001A6FB1"/>
    <w:rsid w:val="001B13DF"/>
    <w:rsid w:val="001B4FB6"/>
    <w:rsid w:val="001C02C4"/>
    <w:rsid w:val="001F10B6"/>
    <w:rsid w:val="00212278"/>
    <w:rsid w:val="0022733F"/>
    <w:rsid w:val="002351A6"/>
    <w:rsid w:val="0025566F"/>
    <w:rsid w:val="00255A08"/>
    <w:rsid w:val="00256CA6"/>
    <w:rsid w:val="00257A0F"/>
    <w:rsid w:val="00265727"/>
    <w:rsid w:val="00267EA8"/>
    <w:rsid w:val="00271872"/>
    <w:rsid w:val="00286CE7"/>
    <w:rsid w:val="002A01AA"/>
    <w:rsid w:val="002A45AC"/>
    <w:rsid w:val="002A70AA"/>
    <w:rsid w:val="002C510E"/>
    <w:rsid w:val="002D1D44"/>
    <w:rsid w:val="002E432F"/>
    <w:rsid w:val="002F4C4B"/>
    <w:rsid w:val="002F6911"/>
    <w:rsid w:val="0030153D"/>
    <w:rsid w:val="00305EC5"/>
    <w:rsid w:val="0031182D"/>
    <w:rsid w:val="003170C3"/>
    <w:rsid w:val="00321FE7"/>
    <w:rsid w:val="003325A9"/>
    <w:rsid w:val="0033566C"/>
    <w:rsid w:val="003614D0"/>
    <w:rsid w:val="0039112D"/>
    <w:rsid w:val="003A0595"/>
    <w:rsid w:val="003A3A91"/>
    <w:rsid w:val="003D4306"/>
    <w:rsid w:val="00417197"/>
    <w:rsid w:val="004230D5"/>
    <w:rsid w:val="00451D3D"/>
    <w:rsid w:val="00490EC4"/>
    <w:rsid w:val="004E7D88"/>
    <w:rsid w:val="004F37DF"/>
    <w:rsid w:val="005053C2"/>
    <w:rsid w:val="00556D79"/>
    <w:rsid w:val="00560279"/>
    <w:rsid w:val="005657CD"/>
    <w:rsid w:val="00576DCA"/>
    <w:rsid w:val="005876D6"/>
    <w:rsid w:val="005926CC"/>
    <w:rsid w:val="005A60DA"/>
    <w:rsid w:val="005A6DE6"/>
    <w:rsid w:val="005B5C9E"/>
    <w:rsid w:val="005E0591"/>
    <w:rsid w:val="005E57EC"/>
    <w:rsid w:val="0061301D"/>
    <w:rsid w:val="00613A96"/>
    <w:rsid w:val="00643837"/>
    <w:rsid w:val="00644CE9"/>
    <w:rsid w:val="006645F7"/>
    <w:rsid w:val="006746F8"/>
    <w:rsid w:val="00693B85"/>
    <w:rsid w:val="006B6162"/>
    <w:rsid w:val="006C04B5"/>
    <w:rsid w:val="006E4666"/>
    <w:rsid w:val="00706410"/>
    <w:rsid w:val="00707C30"/>
    <w:rsid w:val="007229FD"/>
    <w:rsid w:val="00723232"/>
    <w:rsid w:val="00732F95"/>
    <w:rsid w:val="00750F44"/>
    <w:rsid w:val="0076011B"/>
    <w:rsid w:val="0077226A"/>
    <w:rsid w:val="007916DA"/>
    <w:rsid w:val="007A2815"/>
    <w:rsid w:val="007B2995"/>
    <w:rsid w:val="007C64BB"/>
    <w:rsid w:val="007D2F33"/>
    <w:rsid w:val="007E40AB"/>
    <w:rsid w:val="007F0221"/>
    <w:rsid w:val="007F6345"/>
    <w:rsid w:val="0080430F"/>
    <w:rsid w:val="00831034"/>
    <w:rsid w:val="008359C0"/>
    <w:rsid w:val="00850AB2"/>
    <w:rsid w:val="00860E24"/>
    <w:rsid w:val="00876C13"/>
    <w:rsid w:val="00896484"/>
    <w:rsid w:val="008C4A53"/>
    <w:rsid w:val="008C56A9"/>
    <w:rsid w:val="008E1648"/>
    <w:rsid w:val="00901334"/>
    <w:rsid w:val="00905449"/>
    <w:rsid w:val="00925736"/>
    <w:rsid w:val="009377B8"/>
    <w:rsid w:val="009434EB"/>
    <w:rsid w:val="009A4B4F"/>
    <w:rsid w:val="009C1950"/>
    <w:rsid w:val="009C55A6"/>
    <w:rsid w:val="009C7ED1"/>
    <w:rsid w:val="009D0F28"/>
    <w:rsid w:val="00A019AD"/>
    <w:rsid w:val="00A40CCA"/>
    <w:rsid w:val="00A4480F"/>
    <w:rsid w:val="00A554C3"/>
    <w:rsid w:val="00A562C7"/>
    <w:rsid w:val="00A7308B"/>
    <w:rsid w:val="00A7547A"/>
    <w:rsid w:val="00A775E2"/>
    <w:rsid w:val="00AA6D6A"/>
    <w:rsid w:val="00AC78AA"/>
    <w:rsid w:val="00AE2CF0"/>
    <w:rsid w:val="00B02E80"/>
    <w:rsid w:val="00B20268"/>
    <w:rsid w:val="00B51EF7"/>
    <w:rsid w:val="00B61778"/>
    <w:rsid w:val="00B97F48"/>
    <w:rsid w:val="00BA3A8B"/>
    <w:rsid w:val="00BB116E"/>
    <w:rsid w:val="00BB559E"/>
    <w:rsid w:val="00BD0874"/>
    <w:rsid w:val="00BD41C3"/>
    <w:rsid w:val="00BE3AAA"/>
    <w:rsid w:val="00BE5773"/>
    <w:rsid w:val="00BF01BA"/>
    <w:rsid w:val="00C94D26"/>
    <w:rsid w:val="00CA2B8D"/>
    <w:rsid w:val="00CB74D0"/>
    <w:rsid w:val="00CC2E43"/>
    <w:rsid w:val="00CD2F75"/>
    <w:rsid w:val="00CD4360"/>
    <w:rsid w:val="00CE4109"/>
    <w:rsid w:val="00D039F8"/>
    <w:rsid w:val="00D0430F"/>
    <w:rsid w:val="00D2050B"/>
    <w:rsid w:val="00D20A24"/>
    <w:rsid w:val="00D27750"/>
    <w:rsid w:val="00D31366"/>
    <w:rsid w:val="00D43CD4"/>
    <w:rsid w:val="00D84C0F"/>
    <w:rsid w:val="00D85463"/>
    <w:rsid w:val="00D91290"/>
    <w:rsid w:val="00DB0C6C"/>
    <w:rsid w:val="00DC288C"/>
    <w:rsid w:val="00DE5637"/>
    <w:rsid w:val="00DF0888"/>
    <w:rsid w:val="00E011F2"/>
    <w:rsid w:val="00E17D14"/>
    <w:rsid w:val="00E242D6"/>
    <w:rsid w:val="00E7601E"/>
    <w:rsid w:val="00E76CF8"/>
    <w:rsid w:val="00E81D45"/>
    <w:rsid w:val="00E841A4"/>
    <w:rsid w:val="00E92056"/>
    <w:rsid w:val="00E92123"/>
    <w:rsid w:val="00E926F9"/>
    <w:rsid w:val="00EA65B2"/>
    <w:rsid w:val="00EC1FDE"/>
    <w:rsid w:val="00ED588C"/>
    <w:rsid w:val="00EE3D6A"/>
    <w:rsid w:val="00EF5426"/>
    <w:rsid w:val="00F024BA"/>
    <w:rsid w:val="00F10013"/>
    <w:rsid w:val="00F23EC1"/>
    <w:rsid w:val="00F25D97"/>
    <w:rsid w:val="00F25F11"/>
    <w:rsid w:val="00F267C1"/>
    <w:rsid w:val="00F466AA"/>
    <w:rsid w:val="00F511C6"/>
    <w:rsid w:val="00F677B4"/>
    <w:rsid w:val="00F85F83"/>
    <w:rsid w:val="00F940BF"/>
    <w:rsid w:val="00F971E5"/>
    <w:rsid w:val="00F971EF"/>
    <w:rsid w:val="00FC423E"/>
    <w:rsid w:val="00FD471C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."/>
  <w:listSeparator w:val=","/>
  <w14:docId w14:val="0A99D12A"/>
  <w15:docId w15:val="{B5B961DB-D540-42D9-B02E-C622E3ED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2.tm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tmp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C54D-7C7A-4A99-B64A-DD344EC2771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CBE28D-20FF-4EAC-A883-91E32D56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10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>Microsoft EA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Rebecca Morgenstern</cp:lastModifiedBy>
  <cp:revision>129</cp:revision>
  <cp:lastPrinted>2012-11-07T20:40:00Z</cp:lastPrinted>
  <dcterms:created xsi:type="dcterms:W3CDTF">2019-12-09T22:26:00Z</dcterms:created>
  <dcterms:modified xsi:type="dcterms:W3CDTF">2019-12-30T23:33:00Z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